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A194B" w:rsidP="249F518D" w:rsidRDefault="009A194B" w14:paraId="34B85D2F" w14:textId="4F93276E">
      <w:pPr>
        <w:jc w:val="center"/>
        <w:rPr>
          <w:rFonts w:ascii="Aptos" w:hAnsi="Aptos" w:eastAsia="Aptos" w:cs="Aptos"/>
          <w:b w:val="0"/>
          <w:bCs w:val="0"/>
          <w:i w:val="0"/>
          <w:iCs w:val="0"/>
          <w:caps w:val="0"/>
          <w:smallCaps w:val="0"/>
          <w:noProof w:val="0"/>
          <w:color w:val="000000" w:themeColor="text1" w:themeTint="FF" w:themeShade="FF"/>
          <w:sz w:val="24"/>
          <w:szCs w:val="24"/>
          <w:lang w:val="es-ES"/>
        </w:rPr>
      </w:pPr>
      <w:r w:rsidR="2850BAB7">
        <w:drawing>
          <wp:inline wp14:editId="795EB962" wp14:anchorId="531C1C8E">
            <wp:extent cx="2971800" cy="1447800"/>
            <wp:effectExtent l="0" t="0" r="0" b="0"/>
            <wp:docPr id="746282421"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6282421" name=""/>
                    <pic:cNvPicPr/>
                  </pic:nvPicPr>
                  <pic:blipFill>
                    <a:blip xmlns:r="http://schemas.openxmlformats.org/officeDocument/2006/relationships" r:embed="rId1217663619">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38506ECD" w:rsidP="6BC29926" w:rsidRDefault="38506ECD" w14:paraId="03537F27" w14:textId="3B11A74C">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July 18, 2025</w:t>
      </w:r>
    </w:p>
    <w:p w:rsidR="38506ECD" w:rsidP="6BC29926" w:rsidRDefault="38506ECD" w14:paraId="5128DAB5" w14:textId="72EC5918">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FOR IMMEDIATE RELEASE</w:t>
      </w:r>
    </w:p>
    <w:p w:rsidR="38506ECD" w:rsidP="6BC29926" w:rsidRDefault="38506ECD" w14:paraId="39D7F209" w14:textId="0A690861">
      <w:pPr>
        <w:pStyle w:val="Normal"/>
        <w:rPr>
          <w:rFonts w:ascii="Times New Roman" w:hAnsi="Times New Roman" w:eastAsia="Times New Roman" w:cs="Times New Roman"/>
          <w:b w:val="1"/>
          <w:bCs w:val="1"/>
          <w:noProof w:val="0"/>
          <w:sz w:val="24"/>
          <w:szCs w:val="24"/>
          <w:lang w:val="en-US"/>
        </w:rPr>
      </w:pPr>
      <w:r w:rsidRPr="6BC29926" w:rsidR="38506ECD">
        <w:rPr>
          <w:b w:val="1"/>
          <w:bCs w:val="1"/>
          <w:noProof w:val="0"/>
          <w:sz w:val="24"/>
          <w:szCs w:val="24"/>
          <w:lang w:val="en-US"/>
        </w:rPr>
        <w:t>Trump Administration Sued for Lack of Access to Legal Representation for Detainees at "Alligator Alcatraz"</w:t>
      </w:r>
    </w:p>
    <w:p w:rsidR="38506ECD" w:rsidP="1B1B3BEB" w:rsidRDefault="38506ECD" w14:paraId="1785BEDC" w14:textId="73E8FD2D">
      <w:pPr>
        <w:spacing w:before="240" w:beforeAutospacing="off" w:after="240" w:afterAutospacing="off"/>
        <w:jc w:val="left"/>
        <w:rPr>
          <w:rFonts w:ascii="Times New Roman" w:hAnsi="Times New Roman" w:eastAsia="Times New Roman" w:cs="Times New Roman"/>
          <w:b w:val="0"/>
          <w:bCs w:val="0"/>
          <w:i w:val="1"/>
          <w:iCs w:val="1"/>
          <w:noProof w:val="0"/>
          <w:sz w:val="24"/>
          <w:szCs w:val="24"/>
          <w:lang w:val="en-US"/>
        </w:rPr>
      </w:pPr>
      <w:r w:rsidRPr="1B1B3BEB" w:rsidR="38506ECD">
        <w:rPr>
          <w:rFonts w:ascii="Times New Roman" w:hAnsi="Times New Roman" w:eastAsia="Times New Roman" w:cs="Times New Roman"/>
          <w:b w:val="0"/>
          <w:bCs w:val="0"/>
          <w:i w:val="1"/>
          <w:iCs w:val="1"/>
          <w:noProof w:val="0"/>
          <w:sz w:val="24"/>
          <w:szCs w:val="24"/>
          <w:lang w:val="en-US"/>
        </w:rPr>
        <w:t>Plaintiffs are represented by the ACLU and the organization Americans for Immigrant Justice</w:t>
      </w:r>
      <w:r w:rsidRPr="1B1B3BEB" w:rsidR="5E391388">
        <w:rPr>
          <w:rFonts w:ascii="Times New Roman" w:hAnsi="Times New Roman" w:eastAsia="Times New Roman" w:cs="Times New Roman"/>
          <w:b w:val="0"/>
          <w:bCs w:val="0"/>
          <w:i w:val="1"/>
          <w:iCs w:val="1"/>
          <w:noProof w:val="0"/>
          <w:sz w:val="24"/>
          <w:szCs w:val="24"/>
          <w:lang w:val="en-US"/>
        </w:rPr>
        <w:t>.</w:t>
      </w:r>
    </w:p>
    <w:p w:rsidR="4D1019E4" w:rsidP="6BC29926" w:rsidRDefault="4D1019E4" w14:paraId="29F78A19" w14:textId="19AC31E7">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4D1019E4">
        <w:rPr>
          <w:rFonts w:ascii="Times New Roman" w:hAnsi="Times New Roman" w:eastAsia="Times New Roman" w:cs="Times New Roman"/>
          <w:b w:val="1"/>
          <w:bCs w:val="1"/>
          <w:noProof w:val="0"/>
          <w:sz w:val="24"/>
          <w:szCs w:val="24"/>
          <w:lang w:val="en-US"/>
        </w:rPr>
        <w:t xml:space="preserve">San Juan, P.R. - </w:t>
      </w:r>
      <w:r w:rsidRPr="6BC29926" w:rsidR="38506ECD">
        <w:rPr>
          <w:rFonts w:ascii="Times New Roman" w:hAnsi="Times New Roman" w:eastAsia="Times New Roman" w:cs="Times New Roman"/>
          <w:b w:val="0"/>
          <w:bCs w:val="0"/>
          <w:noProof w:val="0"/>
          <w:sz w:val="24"/>
          <w:szCs w:val="24"/>
          <w:lang w:val="en-US"/>
        </w:rPr>
        <w:t xml:space="preserve">Immigrant rights advocates sued the Trump administration on Wednesday over the </w:t>
      </w:r>
      <w:r w:rsidRPr="6BC29926" w:rsidR="38506ECD">
        <w:rPr>
          <w:rFonts w:ascii="Times New Roman" w:hAnsi="Times New Roman" w:eastAsia="Times New Roman" w:cs="Times New Roman"/>
          <w:b w:val="0"/>
          <w:bCs w:val="0"/>
          <w:noProof w:val="0"/>
          <w:sz w:val="24"/>
          <w:szCs w:val="24"/>
          <w:lang w:val="en-US"/>
        </w:rPr>
        <w:t xml:space="preserve">lack of access to legal representation and due process violations for people detained at "Alligator Alcatraz," the notorious new migrant detention center in Florida, built on an abandoned runway in the middle of the </w:t>
      </w:r>
      <w:r w:rsidRPr="6BC29926" w:rsidR="38506ECD">
        <w:rPr>
          <w:rFonts w:ascii="Times New Roman" w:hAnsi="Times New Roman" w:eastAsia="Times New Roman" w:cs="Times New Roman"/>
          <w:b w:val="0"/>
          <w:bCs w:val="0"/>
          <w:noProof w:val="0"/>
          <w:sz w:val="24"/>
          <w:szCs w:val="24"/>
          <w:lang w:val="en-US"/>
        </w:rPr>
        <w:t>Ochopee</w:t>
      </w:r>
      <w:r w:rsidRPr="6BC29926" w:rsidR="38506ECD">
        <w:rPr>
          <w:rFonts w:ascii="Times New Roman" w:hAnsi="Times New Roman" w:eastAsia="Times New Roman" w:cs="Times New Roman"/>
          <w:b w:val="0"/>
          <w:bCs w:val="0"/>
          <w:noProof w:val="0"/>
          <w:sz w:val="24"/>
          <w:szCs w:val="24"/>
          <w:lang w:val="en-US"/>
        </w:rPr>
        <w:t xml:space="preserve"> wetlands.</w:t>
      </w:r>
    </w:p>
    <w:p w:rsidR="38506ECD" w:rsidP="6BC29926" w:rsidRDefault="38506ECD" w14:paraId="3A3009F0" w14:textId="3ADF1C29">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This case is brought by detained individuals, legal service providers, and law firms with clients detained at the facility, including Florida Keys Immigration, Sanctuary of the South, U.S. Immigration Law Counsel, Victoria Slatton of Sanabria &amp; Associates, and The Law Offices of Catherine Perez, PLLC. The plaintiffs are represented by the American Civil Liberties Union (ACLU), the ACLU of Florida, and Americans for Immigrant Justice.</w:t>
      </w:r>
    </w:p>
    <w:p w:rsidR="38506ECD" w:rsidP="6BC29926" w:rsidRDefault="38506ECD" w14:paraId="4C6E60CB" w14:textId="051B9DC5">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The lawsuit denounces the government for </w:t>
      </w:r>
      <w:r w:rsidRPr="6BC29926" w:rsidR="38506ECD">
        <w:rPr>
          <w:rFonts w:ascii="Times New Roman" w:hAnsi="Times New Roman" w:eastAsia="Times New Roman" w:cs="Times New Roman"/>
          <w:b w:val="0"/>
          <w:bCs w:val="0"/>
          <w:noProof w:val="0"/>
          <w:sz w:val="24"/>
          <w:szCs w:val="24"/>
          <w:lang w:val="en-US"/>
        </w:rPr>
        <w:t>blocking attorneys' access</w:t>
      </w:r>
      <w:r w:rsidRPr="6BC29926" w:rsidR="38506ECD">
        <w:rPr>
          <w:rFonts w:ascii="Times New Roman" w:hAnsi="Times New Roman" w:eastAsia="Times New Roman" w:cs="Times New Roman"/>
          <w:b w:val="0"/>
          <w:bCs w:val="0"/>
          <w:noProof w:val="0"/>
          <w:sz w:val="24"/>
          <w:szCs w:val="24"/>
          <w:lang w:val="en-US"/>
        </w:rPr>
        <w:t xml:space="preserve"> to the detention center and imposing restrictions that </w:t>
      </w:r>
      <w:r w:rsidRPr="6BC29926" w:rsidR="38506ECD">
        <w:rPr>
          <w:rFonts w:ascii="Times New Roman" w:hAnsi="Times New Roman" w:eastAsia="Times New Roman" w:cs="Times New Roman"/>
          <w:b w:val="0"/>
          <w:bCs w:val="0"/>
          <w:noProof w:val="0"/>
          <w:sz w:val="24"/>
          <w:szCs w:val="24"/>
          <w:lang w:val="en-US"/>
        </w:rPr>
        <w:t>hinder the filing of necessary legal documents</w:t>
      </w:r>
      <w:r w:rsidRPr="6BC29926" w:rsidR="38506ECD">
        <w:rPr>
          <w:rFonts w:ascii="Times New Roman" w:hAnsi="Times New Roman" w:eastAsia="Times New Roman" w:cs="Times New Roman"/>
          <w:b w:val="0"/>
          <w:bCs w:val="0"/>
          <w:noProof w:val="0"/>
          <w:sz w:val="24"/>
          <w:szCs w:val="24"/>
          <w:lang w:val="en-US"/>
        </w:rPr>
        <w:t xml:space="preserve"> for the detainees' release. The government has banned in-person visits, any confidential communication via phone or video, and the confidential exchange of written documents.</w:t>
      </w:r>
    </w:p>
    <w:p w:rsidR="38506ECD" w:rsidP="6BC29926" w:rsidRDefault="38506ECD" w14:paraId="2BFF5ECA" w14:textId="61A71977">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These restrictions violate the detainees' </w:t>
      </w:r>
      <w:r w:rsidRPr="6BC29926" w:rsidR="38506ECD">
        <w:rPr>
          <w:rFonts w:ascii="Times New Roman" w:hAnsi="Times New Roman" w:eastAsia="Times New Roman" w:cs="Times New Roman"/>
          <w:b w:val="0"/>
          <w:bCs w:val="0"/>
          <w:noProof w:val="0"/>
          <w:sz w:val="24"/>
          <w:szCs w:val="24"/>
          <w:lang w:val="en-US"/>
        </w:rPr>
        <w:t>First and Fifth Amendment</w:t>
      </w:r>
      <w:r w:rsidRPr="6BC29926" w:rsidR="38506ECD">
        <w:rPr>
          <w:rFonts w:ascii="Times New Roman" w:hAnsi="Times New Roman" w:eastAsia="Times New Roman" w:cs="Times New Roman"/>
          <w:b w:val="0"/>
          <w:bCs w:val="0"/>
          <w:noProof w:val="0"/>
          <w:sz w:val="24"/>
          <w:szCs w:val="24"/>
          <w:lang w:val="en-US"/>
        </w:rPr>
        <w:t xml:space="preserve"> rights, as well as the </w:t>
      </w:r>
      <w:r w:rsidRPr="6BC29926" w:rsidR="38506ECD">
        <w:rPr>
          <w:rFonts w:ascii="Times New Roman" w:hAnsi="Times New Roman" w:eastAsia="Times New Roman" w:cs="Times New Roman"/>
          <w:b w:val="0"/>
          <w:bCs w:val="0"/>
          <w:noProof w:val="0"/>
          <w:sz w:val="24"/>
          <w:szCs w:val="24"/>
          <w:lang w:val="en-US"/>
        </w:rPr>
        <w:t>First Amendment</w:t>
      </w:r>
      <w:r w:rsidRPr="6BC29926" w:rsidR="38506ECD">
        <w:rPr>
          <w:rFonts w:ascii="Times New Roman" w:hAnsi="Times New Roman" w:eastAsia="Times New Roman" w:cs="Times New Roman"/>
          <w:b w:val="0"/>
          <w:bCs w:val="0"/>
          <w:noProof w:val="0"/>
          <w:sz w:val="24"/>
          <w:szCs w:val="24"/>
          <w:lang w:val="en-US"/>
        </w:rPr>
        <w:t xml:space="preserve"> rights of the legal services organizations and law firms with clients held at the facility.</w:t>
      </w:r>
    </w:p>
    <w:p w:rsidR="38506ECD" w:rsidP="6BC29926" w:rsidRDefault="38506ECD" w14:paraId="05B7F9D6" w14:textId="7581126F">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"This detention facility opens another nefarious chapter in our nation's history. Its very existence is based on our country's lowest impulses and shows the danger posed by unchecked governmental authority when coupled with unbridled hatred. It </w:t>
      </w:r>
      <w:r w:rsidRPr="6BC29926" w:rsidR="38506ECD">
        <w:rPr>
          <w:rFonts w:ascii="Times New Roman" w:hAnsi="Times New Roman" w:eastAsia="Times New Roman" w:cs="Times New Roman"/>
          <w:b w:val="0"/>
          <w:bCs w:val="0"/>
          <w:noProof w:val="0"/>
          <w:sz w:val="24"/>
          <w:szCs w:val="24"/>
          <w:lang w:val="en-US"/>
        </w:rPr>
        <w:t>represents</w:t>
      </w:r>
      <w:r w:rsidRPr="6BC29926" w:rsidR="38506ECD">
        <w:rPr>
          <w:rFonts w:ascii="Times New Roman" w:hAnsi="Times New Roman" w:eastAsia="Times New Roman" w:cs="Times New Roman"/>
          <w:b w:val="0"/>
          <w:bCs w:val="0"/>
          <w:noProof w:val="0"/>
          <w:sz w:val="24"/>
          <w:szCs w:val="24"/>
          <w:lang w:val="en-US"/>
        </w:rPr>
        <w:t xml:space="preserve"> an assault on common decency, and in this case, the treatment of the detained individuals is also illegal," </w:t>
      </w:r>
      <w:r w:rsidRPr="6BC29926" w:rsidR="38506ECD">
        <w:rPr>
          <w:rFonts w:ascii="Times New Roman" w:hAnsi="Times New Roman" w:eastAsia="Times New Roman" w:cs="Times New Roman"/>
          <w:b w:val="0"/>
          <w:bCs w:val="0"/>
          <w:noProof w:val="0"/>
          <w:sz w:val="24"/>
          <w:szCs w:val="24"/>
          <w:lang w:val="en-US"/>
        </w:rPr>
        <w:t>stated</w:t>
      </w:r>
      <w:r w:rsidRPr="6BC29926" w:rsidR="38506ECD">
        <w:rPr>
          <w:rFonts w:ascii="Times New Roman" w:hAnsi="Times New Roman" w:eastAsia="Times New Roman" w:cs="Times New Roman"/>
          <w:b w:val="0"/>
          <w:bCs w:val="0"/>
          <w:noProof w:val="0"/>
          <w:sz w:val="24"/>
          <w:szCs w:val="24"/>
          <w:lang w:val="en-US"/>
        </w:rPr>
        <w:t xml:space="preserve"> </w:t>
      </w:r>
      <w:r w:rsidRPr="6BC29926" w:rsidR="38506ECD">
        <w:rPr>
          <w:rFonts w:ascii="Times New Roman" w:hAnsi="Times New Roman" w:eastAsia="Times New Roman" w:cs="Times New Roman"/>
          <w:b w:val="0"/>
          <w:bCs w:val="0"/>
          <w:noProof w:val="0"/>
          <w:sz w:val="24"/>
          <w:szCs w:val="24"/>
          <w:lang w:val="en-US"/>
        </w:rPr>
        <w:t xml:space="preserve">Eunice Cho, Senior Staff Attorney for the ACLU's National Prison </w:t>
      </w:r>
      <w:r w:rsidRPr="6BC29926" w:rsidR="38506ECD">
        <w:rPr>
          <w:rFonts w:ascii="Times New Roman" w:hAnsi="Times New Roman" w:eastAsia="Times New Roman" w:cs="Times New Roman"/>
          <w:b w:val="0"/>
          <w:bCs w:val="0"/>
          <w:noProof w:val="0"/>
          <w:sz w:val="24"/>
          <w:szCs w:val="24"/>
          <w:lang w:val="en-US"/>
        </w:rPr>
        <w:t>Project</w:t>
      </w:r>
      <w:r w:rsidRPr="6BC29926" w:rsidR="38506ECD">
        <w:rPr>
          <w:rFonts w:ascii="Times New Roman" w:hAnsi="Times New Roman" w:eastAsia="Times New Roman" w:cs="Times New Roman"/>
          <w:b w:val="0"/>
          <w:bCs w:val="0"/>
          <w:noProof w:val="0"/>
          <w:sz w:val="24"/>
          <w:szCs w:val="24"/>
          <w:lang w:val="en-US"/>
        </w:rPr>
        <w:t xml:space="preserve"> and lead counsel on the case.</w:t>
      </w:r>
    </w:p>
    <w:p w:rsidR="38506ECD" w:rsidP="6BC29926" w:rsidRDefault="38506ECD" w14:paraId="5DC22CC5" w14:textId="5471095B">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The facility is constructed with temporary tents, trailers, and barbed wire fences. It is surrounded by alligators, pythons, mosquitoes, and swamp land, and is at risk of dangerous flooding. According to the lawsuit, at least 700 people are currently held at the facility.</w:t>
      </w:r>
    </w:p>
    <w:p w:rsidR="38506ECD" w:rsidP="6BC29926" w:rsidRDefault="38506ECD" w14:paraId="6BF6552F" w14:textId="29E615F1">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Detainees and members of Congress who have visited the site report </w:t>
      </w:r>
      <w:r w:rsidRPr="6BC29926" w:rsidR="38506ECD">
        <w:rPr>
          <w:rFonts w:ascii="Times New Roman" w:hAnsi="Times New Roman" w:eastAsia="Times New Roman" w:cs="Times New Roman"/>
          <w:b w:val="0"/>
          <w:bCs w:val="0"/>
          <w:noProof w:val="0"/>
          <w:sz w:val="24"/>
          <w:szCs w:val="24"/>
          <w:lang w:val="en-US"/>
        </w:rPr>
        <w:t>deplorable conditions</w:t>
      </w:r>
      <w:r w:rsidRPr="6BC29926" w:rsidR="38506ECD">
        <w:rPr>
          <w:rFonts w:ascii="Times New Roman" w:hAnsi="Times New Roman" w:eastAsia="Times New Roman" w:cs="Times New Roman"/>
          <w:b w:val="0"/>
          <w:bCs w:val="0"/>
          <w:noProof w:val="0"/>
          <w:sz w:val="24"/>
          <w:szCs w:val="24"/>
          <w:lang w:val="en-US"/>
        </w:rPr>
        <w:t>, including scorching temperatures, heavy mosquito presence, flooding inside the tents, lack of access to water, and clogged toilets and sewage (detainees have described being forced to unclog toilets with their own hands), inadequate food, and denial of religious rights.</w:t>
      </w:r>
    </w:p>
    <w:p w:rsidR="38506ECD" w:rsidP="6BC29926" w:rsidRDefault="38506ECD" w14:paraId="54938023" w14:textId="4830D780">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"What's happening here isn't just a policy failure—it's a moral failure," said </w:t>
      </w:r>
      <w:r w:rsidRPr="6BC29926" w:rsidR="38506ECD">
        <w:rPr>
          <w:rFonts w:ascii="Times New Roman" w:hAnsi="Times New Roman" w:eastAsia="Times New Roman" w:cs="Times New Roman"/>
          <w:b w:val="0"/>
          <w:bCs w:val="0"/>
          <w:noProof w:val="0"/>
          <w:sz w:val="24"/>
          <w:szCs w:val="24"/>
          <w:lang w:val="en-US"/>
        </w:rPr>
        <w:t>Bacardi Jackson, Executive Director of the ACLU of Florida.</w:t>
      </w:r>
      <w:r w:rsidRPr="6BC29926" w:rsidR="38506ECD">
        <w:rPr>
          <w:rFonts w:ascii="Times New Roman" w:hAnsi="Times New Roman" w:eastAsia="Times New Roman" w:cs="Times New Roman"/>
          <w:b w:val="0"/>
          <w:bCs w:val="0"/>
          <w:noProof w:val="0"/>
          <w:sz w:val="24"/>
          <w:szCs w:val="24"/>
          <w:lang w:val="en-US"/>
        </w:rPr>
        <w:t xml:space="preserve"> "The state has hastily erected an expensive, deadly, hidden prison in the middle of the Everglades during hurricane season to warehouse human beings, stripping them of due process and dignity, isolating them from their families and their lawyers, intentionally putting their lives in danger, and leaving them to suffer in silence," she underscored.</w:t>
      </w:r>
    </w:p>
    <w:p w:rsidR="38506ECD" w:rsidP="6BC29926" w:rsidRDefault="38506ECD" w14:paraId="770A49B3" w14:textId="5CB2275A">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According to the complaint, several attorneys arrived at the checkpoint on the road to the detention center to request in-person meetings with their clients, without success. Attorneys were met at the checkpoint by armed members of the Florida National Guard and state police, who said requests for attorney-client meetings would be "communicated" to the facility. Hours later, they were informed that no in-person visits would be allowed.</w:t>
      </w:r>
    </w:p>
    <w:p w:rsidR="38506ECD" w:rsidP="6BC29926" w:rsidRDefault="38506ECD" w14:paraId="4234079C" w14:textId="30CDA32E">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In recent days, the ACLU of Puerto Rico was informed about the </w:t>
      </w:r>
      <w:r w:rsidRPr="6BC29926" w:rsidR="38506ECD">
        <w:rPr>
          <w:rFonts w:ascii="Times New Roman" w:hAnsi="Times New Roman" w:eastAsia="Times New Roman" w:cs="Times New Roman"/>
          <w:b w:val="0"/>
          <w:bCs w:val="0"/>
          <w:noProof w:val="0"/>
          <w:sz w:val="24"/>
          <w:szCs w:val="24"/>
          <w:lang w:val="en-US"/>
        </w:rPr>
        <w:t>transfer of detainees from the archipelago to this facility in Florida</w:t>
      </w:r>
      <w:r w:rsidRPr="6BC29926" w:rsidR="38506ECD">
        <w:rPr>
          <w:rFonts w:ascii="Times New Roman" w:hAnsi="Times New Roman" w:eastAsia="Times New Roman" w:cs="Times New Roman"/>
          <w:b w:val="0"/>
          <w:bCs w:val="0"/>
          <w:noProof w:val="0"/>
          <w:sz w:val="24"/>
          <w:szCs w:val="24"/>
          <w:lang w:val="en-US"/>
        </w:rPr>
        <w:t xml:space="preserve">. Similarly, the local office has received information </w:t>
      </w:r>
      <w:r w:rsidRPr="6BC29926" w:rsidR="38506ECD">
        <w:rPr>
          <w:rFonts w:ascii="Times New Roman" w:hAnsi="Times New Roman" w:eastAsia="Times New Roman" w:cs="Times New Roman"/>
          <w:b w:val="0"/>
          <w:bCs w:val="0"/>
          <w:noProof w:val="0"/>
          <w:sz w:val="24"/>
          <w:szCs w:val="24"/>
          <w:lang w:val="en-US"/>
        </w:rPr>
        <w:t>regarding</w:t>
      </w:r>
      <w:r w:rsidRPr="6BC29926" w:rsidR="38506ECD">
        <w:rPr>
          <w:rFonts w:ascii="Times New Roman" w:hAnsi="Times New Roman" w:eastAsia="Times New Roman" w:cs="Times New Roman"/>
          <w:b w:val="0"/>
          <w:bCs w:val="0"/>
          <w:noProof w:val="0"/>
          <w:sz w:val="24"/>
          <w:szCs w:val="24"/>
          <w:lang w:val="en-US"/>
        </w:rPr>
        <w:t xml:space="preserve"> rights violations and dehumanizing treatment.</w:t>
      </w:r>
    </w:p>
    <w:p w:rsidR="38506ECD" w:rsidP="6BC29926" w:rsidRDefault="38506ECD" w14:paraId="79D82CFE" w14:textId="7E441E9D">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 xml:space="preserve">"From the ACLU of Puerto Rico, we support and remain attentive to the development of this lawsuit, whose objective is to protect and uphold the constitutional protections that cover all people, starting with human dignity," </w:t>
      </w:r>
      <w:r w:rsidRPr="6BC29926" w:rsidR="38506ECD">
        <w:rPr>
          <w:rFonts w:ascii="Times New Roman" w:hAnsi="Times New Roman" w:eastAsia="Times New Roman" w:cs="Times New Roman"/>
          <w:b w:val="0"/>
          <w:bCs w:val="0"/>
          <w:noProof w:val="0"/>
          <w:sz w:val="24"/>
          <w:szCs w:val="24"/>
          <w:lang w:val="en-US"/>
        </w:rPr>
        <w:t>stated</w:t>
      </w:r>
      <w:r w:rsidRPr="6BC29926" w:rsidR="38506ECD">
        <w:rPr>
          <w:rFonts w:ascii="Times New Roman" w:hAnsi="Times New Roman" w:eastAsia="Times New Roman" w:cs="Times New Roman"/>
          <w:b w:val="0"/>
          <w:bCs w:val="0"/>
          <w:noProof w:val="0"/>
          <w:sz w:val="24"/>
          <w:szCs w:val="24"/>
          <w:lang w:val="en-US"/>
        </w:rPr>
        <w:t xml:space="preserve"> </w:t>
      </w:r>
      <w:r w:rsidRPr="6BC29926" w:rsidR="38506ECD">
        <w:rPr>
          <w:rFonts w:ascii="Times New Roman" w:hAnsi="Times New Roman" w:eastAsia="Times New Roman" w:cs="Times New Roman"/>
          <w:b w:val="0"/>
          <w:bCs w:val="0"/>
          <w:noProof w:val="0"/>
          <w:sz w:val="24"/>
          <w:szCs w:val="24"/>
          <w:lang w:val="en-US"/>
        </w:rPr>
        <w:t>Annette Martínez Orabona, Executive Director of the ACLU of Puerto Rico.</w:t>
      </w:r>
    </w:p>
    <w:p w:rsidR="38506ECD" w:rsidP="6BC29926" w:rsidRDefault="38506ECD" w14:paraId="72CA2795" w14:textId="67206D70">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6BC29926" w:rsidR="38506ECD">
        <w:rPr>
          <w:rFonts w:ascii="Times New Roman" w:hAnsi="Times New Roman" w:eastAsia="Times New Roman" w:cs="Times New Roman"/>
          <w:b w:val="0"/>
          <w:bCs w:val="0"/>
          <w:noProof w:val="0"/>
          <w:sz w:val="24"/>
          <w:szCs w:val="24"/>
          <w:lang w:val="en-US"/>
        </w:rPr>
        <w:t>The government has also failed to provide information on how detainees and attorneys can have confidential phone calls. Furthermore, the facility requires reviewing the submission of any documents that attorneys plan to review with their clients.</w:t>
      </w:r>
    </w:p>
    <w:p w:rsidR="6BC29926" w:rsidP="6BC29926" w:rsidRDefault="6BC29926" w14:paraId="1F730632" w14:textId="4D422B50">
      <w:pPr>
        <w:pStyle w:val="Normal"/>
        <w:jc w:val="left"/>
        <w:rPr>
          <w:rFonts w:ascii="Times New Roman" w:hAnsi="Times New Roman" w:eastAsia="Times New Roman" w:cs="Times New Roman"/>
          <w:b w:val="1"/>
          <w:bCs w:val="1"/>
          <w:noProof w:val="0"/>
          <w:sz w:val="24"/>
          <w:szCs w:val="24"/>
          <w:lang w:val="en-US"/>
        </w:rPr>
      </w:pPr>
    </w:p>
    <w:p w:rsidR="38506ECD" w:rsidP="6BC29926" w:rsidRDefault="38506ECD" w14:paraId="3A29F248" w14:textId="4DC39FDB">
      <w:pPr>
        <w:pStyle w:val="Normal"/>
        <w:jc w:val="left"/>
        <w:rPr>
          <w:rFonts w:ascii="Times New Roman" w:hAnsi="Times New Roman" w:eastAsia="Times New Roman" w:cs="Times New Roman"/>
          <w:noProof w:val="0"/>
          <w:sz w:val="24"/>
          <w:szCs w:val="24"/>
          <w:lang w:val="en-US"/>
        </w:rPr>
      </w:pPr>
      <w:r w:rsidRPr="6BC29926" w:rsidR="38506ECD">
        <w:rPr>
          <w:rFonts w:ascii="Times New Roman" w:hAnsi="Times New Roman" w:eastAsia="Times New Roman" w:cs="Times New Roman"/>
          <w:b w:val="1"/>
          <w:bCs w:val="1"/>
          <w:noProof w:val="0"/>
          <w:sz w:val="24"/>
          <w:szCs w:val="24"/>
          <w:lang w:val="en-US"/>
        </w:rPr>
        <w:t>Contact:</w:t>
      </w:r>
      <w:r w:rsidRPr="6BC29926" w:rsidR="38506ECD">
        <w:rPr>
          <w:rFonts w:ascii="Times New Roman" w:hAnsi="Times New Roman" w:eastAsia="Times New Roman" w:cs="Times New Roman"/>
          <w:noProof w:val="0"/>
          <w:sz w:val="24"/>
          <w:szCs w:val="24"/>
          <w:lang w:val="en-US"/>
        </w:rPr>
        <w:t xml:space="preserve"> </w:t>
      </w:r>
    </w:p>
    <w:p w:rsidR="38506ECD" w:rsidP="6BC29926" w:rsidRDefault="38506ECD" w14:paraId="6C6E7F68" w14:textId="5614B8DC">
      <w:pPr>
        <w:spacing w:before="0" w:beforeAutospacing="off" w:after="20" w:afterAutospacing="off"/>
        <w:jc w:val="left"/>
        <w:rPr>
          <w:rFonts w:ascii="Times New Roman" w:hAnsi="Times New Roman" w:eastAsia="Times New Roman" w:cs="Times New Roman"/>
          <w:noProof w:val="0"/>
          <w:sz w:val="24"/>
          <w:szCs w:val="24"/>
          <w:lang w:val="en-US"/>
        </w:rPr>
      </w:pPr>
      <w:r w:rsidRPr="6BC29926" w:rsidR="38506ECD">
        <w:rPr>
          <w:rFonts w:ascii="Times New Roman" w:hAnsi="Times New Roman" w:eastAsia="Times New Roman" w:cs="Times New Roman"/>
          <w:noProof w:val="0"/>
          <w:sz w:val="24"/>
          <w:szCs w:val="24"/>
          <w:lang w:val="en-US"/>
        </w:rPr>
        <w:t xml:space="preserve">David Cordero Mercado </w:t>
      </w:r>
    </w:p>
    <w:p w:rsidR="38506ECD" w:rsidP="6BC29926" w:rsidRDefault="38506ECD" w14:paraId="031DAD5D" w14:textId="606425BC">
      <w:pPr>
        <w:spacing w:before="0" w:beforeAutospacing="off" w:after="20" w:afterAutospacing="off"/>
        <w:jc w:val="left"/>
        <w:rPr>
          <w:rFonts w:ascii="Times New Roman" w:hAnsi="Times New Roman" w:eastAsia="Times New Roman" w:cs="Times New Roman"/>
          <w:noProof w:val="0"/>
          <w:sz w:val="24"/>
          <w:szCs w:val="24"/>
          <w:lang w:val="en-US"/>
        </w:rPr>
      </w:pPr>
      <w:r w:rsidRPr="6BC29926" w:rsidR="38506ECD">
        <w:rPr>
          <w:rFonts w:ascii="Times New Roman" w:hAnsi="Times New Roman" w:eastAsia="Times New Roman" w:cs="Times New Roman"/>
          <w:noProof w:val="0"/>
          <w:sz w:val="24"/>
          <w:szCs w:val="24"/>
          <w:lang w:val="en-US"/>
        </w:rPr>
        <w:t xml:space="preserve">Communications Director – ACLU of Puerto Rico </w:t>
      </w:r>
    </w:p>
    <w:p w:rsidR="38506ECD" w:rsidP="6BC29926" w:rsidRDefault="38506ECD" w14:paraId="60C46D2F" w14:textId="3D2D71D4">
      <w:pPr>
        <w:spacing w:before="0" w:beforeAutospacing="off" w:after="20" w:afterAutospacing="off"/>
        <w:jc w:val="left"/>
        <w:rPr>
          <w:rFonts w:ascii="Times New Roman" w:hAnsi="Times New Roman" w:eastAsia="Times New Roman" w:cs="Times New Roman"/>
          <w:noProof w:val="0"/>
          <w:sz w:val="24"/>
          <w:szCs w:val="24"/>
          <w:lang w:val="en-US"/>
        </w:rPr>
      </w:pPr>
      <w:r w:rsidRPr="6BC29926" w:rsidR="38506ECD">
        <w:rPr>
          <w:rFonts w:ascii="Times New Roman" w:hAnsi="Times New Roman" w:eastAsia="Times New Roman" w:cs="Times New Roman"/>
          <w:noProof w:val="0"/>
          <w:sz w:val="24"/>
          <w:szCs w:val="24"/>
          <w:lang w:val="en-US"/>
        </w:rPr>
        <w:t>(787) 247-9057</w:t>
      </w:r>
    </w:p>
    <w:p w:rsidR="6BC29926" w:rsidP="6BC29926" w:rsidRDefault="6BC29926" w14:paraId="4C3493EB" w14:textId="1FB84C5F">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pPr>
    </w:p>
    <w:p w:rsidR="249F518D" w:rsidP="249F518D" w:rsidRDefault="249F518D" w14:paraId="33B4DAE5" w14:textId="19F5F9FA">
      <w:pPr>
        <w:pStyle w:val="Normal"/>
        <w:rPr>
          <w:noProof w:val="0"/>
          <w:lang w:val="es-ES"/>
        </w:rPr>
      </w:pPr>
    </w:p>
    <w:sectPr w:rsidR="009A194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D65E7"/>
    <w:rsid w:val="009A194B"/>
    <w:rsid w:val="00D131FE"/>
    <w:rsid w:val="02AD71B6"/>
    <w:rsid w:val="04A0F1A7"/>
    <w:rsid w:val="05DAA55A"/>
    <w:rsid w:val="05FBD974"/>
    <w:rsid w:val="0BBE7006"/>
    <w:rsid w:val="0C2AFFBB"/>
    <w:rsid w:val="0CC26F26"/>
    <w:rsid w:val="0F7D4570"/>
    <w:rsid w:val="106C4C26"/>
    <w:rsid w:val="10908351"/>
    <w:rsid w:val="109D0A3D"/>
    <w:rsid w:val="126B0153"/>
    <w:rsid w:val="13DACA18"/>
    <w:rsid w:val="16E8E5F3"/>
    <w:rsid w:val="174092DF"/>
    <w:rsid w:val="194947C9"/>
    <w:rsid w:val="1959AB49"/>
    <w:rsid w:val="195C1DD5"/>
    <w:rsid w:val="1B1B3BEB"/>
    <w:rsid w:val="1B43225A"/>
    <w:rsid w:val="1C58A50D"/>
    <w:rsid w:val="1D4B72D7"/>
    <w:rsid w:val="1D7DF46B"/>
    <w:rsid w:val="1D88CC5E"/>
    <w:rsid w:val="1DF581A3"/>
    <w:rsid w:val="1F21BE3A"/>
    <w:rsid w:val="1FFAF192"/>
    <w:rsid w:val="20FE468F"/>
    <w:rsid w:val="21ACF368"/>
    <w:rsid w:val="2292515C"/>
    <w:rsid w:val="22B55DCB"/>
    <w:rsid w:val="23E5F4FF"/>
    <w:rsid w:val="249F518D"/>
    <w:rsid w:val="255BE370"/>
    <w:rsid w:val="25B99E38"/>
    <w:rsid w:val="25EF6ADE"/>
    <w:rsid w:val="26E4561D"/>
    <w:rsid w:val="273387A4"/>
    <w:rsid w:val="2794448D"/>
    <w:rsid w:val="27BD65E7"/>
    <w:rsid w:val="283285B8"/>
    <w:rsid w:val="2850BAB7"/>
    <w:rsid w:val="2988CCB4"/>
    <w:rsid w:val="29BCA341"/>
    <w:rsid w:val="29BEB65F"/>
    <w:rsid w:val="2AFE9047"/>
    <w:rsid w:val="2BE2FCA8"/>
    <w:rsid w:val="2C12F1E4"/>
    <w:rsid w:val="2C50704D"/>
    <w:rsid w:val="2CAE1E6B"/>
    <w:rsid w:val="2D359669"/>
    <w:rsid w:val="2D8A6BF1"/>
    <w:rsid w:val="2DF3E6BC"/>
    <w:rsid w:val="2F2566FC"/>
    <w:rsid w:val="2F6311B9"/>
    <w:rsid w:val="31B4F7D6"/>
    <w:rsid w:val="325FC810"/>
    <w:rsid w:val="350D2F9D"/>
    <w:rsid w:val="3571A1C6"/>
    <w:rsid w:val="375A184C"/>
    <w:rsid w:val="38506ECD"/>
    <w:rsid w:val="39CA4338"/>
    <w:rsid w:val="39E25EE1"/>
    <w:rsid w:val="3A09DED5"/>
    <w:rsid w:val="3AEB0980"/>
    <w:rsid w:val="3B6A6C46"/>
    <w:rsid w:val="3B947910"/>
    <w:rsid w:val="3E00CCA1"/>
    <w:rsid w:val="3E1011C7"/>
    <w:rsid w:val="3E9CBBF5"/>
    <w:rsid w:val="3F2A0491"/>
    <w:rsid w:val="3F9EBA9A"/>
    <w:rsid w:val="402059E1"/>
    <w:rsid w:val="404CF567"/>
    <w:rsid w:val="409EB757"/>
    <w:rsid w:val="42773069"/>
    <w:rsid w:val="42B01CD8"/>
    <w:rsid w:val="434E531A"/>
    <w:rsid w:val="43F6F476"/>
    <w:rsid w:val="44B3C362"/>
    <w:rsid w:val="456EB3DA"/>
    <w:rsid w:val="4607825A"/>
    <w:rsid w:val="48E85115"/>
    <w:rsid w:val="4A20F595"/>
    <w:rsid w:val="4AB7C1C4"/>
    <w:rsid w:val="4B12C9FB"/>
    <w:rsid w:val="4D1019E4"/>
    <w:rsid w:val="4D691C8D"/>
    <w:rsid w:val="4EFCE373"/>
    <w:rsid w:val="4F017FB4"/>
    <w:rsid w:val="4FDD8F84"/>
    <w:rsid w:val="52CFDB30"/>
    <w:rsid w:val="537E652F"/>
    <w:rsid w:val="540F3AB1"/>
    <w:rsid w:val="541DF8EF"/>
    <w:rsid w:val="58ADB480"/>
    <w:rsid w:val="58B49017"/>
    <w:rsid w:val="596C3C8C"/>
    <w:rsid w:val="59C8FD77"/>
    <w:rsid w:val="5A27AC59"/>
    <w:rsid w:val="5E1BD4FE"/>
    <w:rsid w:val="5E391388"/>
    <w:rsid w:val="5EBBADBF"/>
    <w:rsid w:val="61185BAF"/>
    <w:rsid w:val="6120761A"/>
    <w:rsid w:val="61A59591"/>
    <w:rsid w:val="61AB2BE1"/>
    <w:rsid w:val="6711D8F5"/>
    <w:rsid w:val="67579237"/>
    <w:rsid w:val="68CD731D"/>
    <w:rsid w:val="6B3C6D15"/>
    <w:rsid w:val="6BC29926"/>
    <w:rsid w:val="6C1B208A"/>
    <w:rsid w:val="6E0B32BF"/>
    <w:rsid w:val="6E34D16C"/>
    <w:rsid w:val="6E811C8C"/>
    <w:rsid w:val="71B65B45"/>
    <w:rsid w:val="730EEBF6"/>
    <w:rsid w:val="73953A28"/>
    <w:rsid w:val="73D5C379"/>
    <w:rsid w:val="75665429"/>
    <w:rsid w:val="7696703E"/>
    <w:rsid w:val="7953FB78"/>
    <w:rsid w:val="7A041EE0"/>
    <w:rsid w:val="7E3E880B"/>
    <w:rsid w:val="7ECE8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65E7"/>
  <w15:chartTrackingRefBased/>
  <w15:docId w15:val="{FB84238D-F3FE-4A11-9A0E-BC8DA961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tasks.xml><?xml version="1.0" encoding="utf-8"?>
<t:Tasks xmlns:t="http://schemas.microsoft.com/office/tasks/2019/documenttasks" xmlns:oel="http://schemas.microsoft.com/office/2019/extlst">
  <t:Task id="{BE61E5F6-AB87-4586-9B3D-5CD1B1BB27C7}">
    <t:Anchor>
      <t:Comment id="193188759"/>
    </t:Anchor>
    <t:History>
      <t:Event id="{072C8B1A-2E29-4CB2-8075-AA62D2CE0E63}" time="2025-07-17T21:17:16.914Z">
        <t:Attribution userId="S::dcordero@aclu.org::e0f8dd43-5772-4b67-9eca-617469f0f30f" userProvider="AD" userName="David Cordero"/>
        <t:Anchor>
          <t:Comment id="193188759"/>
        </t:Anchor>
        <t:Create/>
      </t:Event>
      <t:Event id="{C3F841ED-00A0-49A2-8C90-A79DA34186A3}" time="2025-07-17T21:17:16.914Z">
        <t:Attribution userId="S::dcordero@aclu.org::e0f8dd43-5772-4b67-9eca-617469f0f30f" userProvider="AD" userName="David Cordero"/>
        <t:Anchor>
          <t:Comment id="193188759"/>
        </t:Anchor>
        <t:Assign userId="S::AMartinez-Orabona@aclu.org::7b1d079f-5bdb-4563-a35e-87d8ab55f437" userProvider="AD" userName="Annette Martinez-Orabona"/>
      </t:Event>
      <t:Event id="{2B4B5202-CBD5-4FDA-96F7-6BCB105CE5CA}" time="2025-07-17T21:17:16.914Z">
        <t:Attribution userId="S::dcordero@aclu.org::e0f8dd43-5772-4b67-9eca-617469f0f30f" userProvider="AD" userName="David Cordero"/>
        <t:Anchor>
          <t:Comment id="193188759"/>
        </t:Anchor>
        <t:SetTitle title="@Annette Martinez-Orabona"/>
      </t:Event>
      <t:Event id="{F9746C91-446F-4B3E-9790-A612EB0C6AA9}" time="2025-07-18T13:57:46.82Z">
        <t:Attribution userId="S::dcordero@aclu.org::e0f8dd43-5772-4b67-9eca-617469f0f30f" userProvider="AD" userName="David Cordero"/>
        <t:Progress percentComplete="100"/>
      </t:Event>
    </t:History>
  </t:Task>
  <t:Task id="{D9631AD7-0B79-44AC-960C-CEFE06C16C3F}">
    <t:Anchor>
      <t:Comment id="1737396506"/>
    </t:Anchor>
    <t:History>
      <t:Event id="{3555653C-AE73-4614-942D-0AFB27BDC26C}" time="2025-07-17T21:17:30.097Z">
        <t:Attribution userId="S::dcordero@aclu.org::e0f8dd43-5772-4b67-9eca-617469f0f30f" userProvider="AD" userName="David Cordero"/>
        <t:Anchor>
          <t:Comment id="1737396506"/>
        </t:Anchor>
        <t:Create/>
      </t:Event>
      <t:Event id="{135A2327-DD38-4FFA-9313-D14186ED4A2D}" time="2025-07-17T21:17:30.097Z">
        <t:Attribution userId="S::dcordero@aclu.org::e0f8dd43-5772-4b67-9eca-617469f0f30f" userProvider="AD" userName="David Cordero"/>
        <t:Anchor>
          <t:Comment id="1737396506"/>
        </t:Anchor>
        <t:Assign userId="S::AMartinez-Orabona@aclu.org::7b1d079f-5bdb-4563-a35e-87d8ab55f437" userProvider="AD" userName="Annette Martinez-Orabona"/>
      </t:Event>
      <t:Event id="{D6580AC4-72D3-46F0-8258-C76349635EFF}" time="2025-07-17T21:17:30.097Z">
        <t:Attribution userId="S::dcordero@aclu.org::e0f8dd43-5772-4b67-9eca-617469f0f30f" userProvider="AD" userName="David Cordero"/>
        <t:Anchor>
          <t:Comment id="1737396506"/>
        </t:Anchor>
        <t:SetTitle title="@Annette Martinez-Orabona"/>
      </t:Event>
      <t:Event id="{9A1BD5C6-8F1B-4519-976F-688622129034}" time="2025-07-18T13:57:49.586Z">
        <t:Attribution userId="S::dcordero@aclu.org::e0f8dd43-5772-4b67-9eca-617469f0f30f" userProvider="AD" userName="David Corder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5/relationships/documenttasks" Target="tasks.xml" Id="R60a7d1dc16cc47f0" /><Relationship Type="http://schemas.openxmlformats.org/officeDocument/2006/relationships/image" Target="/media/image.png" Id="rId12176636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4</revision>
  <dcterms:created xsi:type="dcterms:W3CDTF">2025-07-17T19:55:00.0000000Z</dcterms:created>
  <dcterms:modified xsi:type="dcterms:W3CDTF">2025-09-29T04:48:12.6757322Z</dcterms:modified>
</coreProperties>
</file>