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04B3C" w:rsidP="6C3F36DF" w:rsidRDefault="00204B3C" w14:paraId="69B7B033" w14:textId="66BC5242">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1AEE4DAD">
        <w:drawing>
          <wp:inline wp14:editId="45591E3A" wp14:anchorId="1A41EEDB">
            <wp:extent cx="2971800" cy="1447800"/>
            <wp:effectExtent l="0" t="0" r="0" b="0"/>
            <wp:docPr id="1500125924"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00125924" name=""/>
                    <pic:cNvPicPr/>
                  </pic:nvPicPr>
                  <pic:blipFill>
                    <a:blip xmlns:r="http://schemas.openxmlformats.org/officeDocument/2006/relationships" r:embed="rId362532087">
                      <a:extLst>
                        <a:ext xmlns:a="http://schemas.openxmlformats.org/drawingml/2006/main" uri="{28A0092B-C50C-407E-A947-70E740481C1C}">
                          <a14:useLocalDpi xmlns:a14="http://schemas.microsoft.com/office/drawing/2010/main" val="0"/>
                        </a:ext>
                      </a:extLst>
                    </a:blip>
                    <a:stretch>
                      <a:fillRect/>
                    </a:stretch>
                  </pic:blipFill>
                  <pic:spPr>
                    <a:xfrm>
                      <a:off x="0" y="0"/>
                      <a:ext cx="2971800" cy="1447800"/>
                    </a:xfrm>
                    <a:prstGeom prst="rect">
                      <a:avLst/>
                    </a:prstGeom>
                  </pic:spPr>
                </pic:pic>
              </a:graphicData>
            </a:graphic>
          </wp:inline>
        </w:drawing>
      </w:r>
    </w:p>
    <w:p w:rsidR="00204B3C" w:rsidP="1FA90E78" w:rsidRDefault="00204B3C" w14:paraId="7AC1BCE6" w14:textId="16C1BD06">
      <w:pPr>
        <w:spacing w:before="240" w:beforeAutospacing="off" w:after="240" w:afterAutospacing="off"/>
        <w:jc w:val="right"/>
        <w:rPr>
          <w:rFonts w:ascii="Times New Roman" w:hAnsi="Times New Roman" w:eastAsia="Times New Roman" w:cs="Times New Roman"/>
          <w:b w:val="0"/>
          <w:bCs w:val="0"/>
          <w:noProof w:val="0"/>
          <w:sz w:val="24"/>
          <w:szCs w:val="24"/>
          <w:lang w:val="en-US"/>
        </w:rPr>
      </w:pPr>
      <w:r w:rsidRPr="1FA90E78" w:rsidR="24A70E59">
        <w:rPr>
          <w:rFonts w:ascii="Times New Roman" w:hAnsi="Times New Roman" w:eastAsia="Times New Roman" w:cs="Times New Roman"/>
          <w:b w:val="0"/>
          <w:bCs w:val="0"/>
          <w:noProof w:val="0"/>
          <w:sz w:val="24"/>
          <w:szCs w:val="24"/>
          <w:lang w:val="en-US"/>
        </w:rPr>
        <w:t>July 16, 2025</w:t>
      </w:r>
    </w:p>
    <w:p w:rsidR="00204B3C" w:rsidP="1FA90E78" w:rsidRDefault="00204B3C" w14:paraId="6E11F617" w14:textId="693EF326">
      <w:pPr>
        <w:spacing w:before="240" w:beforeAutospacing="off" w:after="240" w:afterAutospacing="off"/>
        <w:jc w:val="left"/>
        <w:rPr>
          <w:rFonts w:ascii="Times New Roman" w:hAnsi="Times New Roman" w:eastAsia="Times New Roman" w:cs="Times New Roman"/>
          <w:b w:val="0"/>
          <w:bCs w:val="0"/>
          <w:noProof w:val="0"/>
          <w:sz w:val="24"/>
          <w:szCs w:val="24"/>
          <w:lang w:val="en-US"/>
        </w:rPr>
      </w:pPr>
    </w:p>
    <w:p w:rsidR="00204B3C" w:rsidP="1FA90E78" w:rsidRDefault="00204B3C" w14:paraId="1F72ED90" w14:textId="24668548">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1FA90E78" w:rsidR="24A70E59">
        <w:rPr>
          <w:rFonts w:ascii="Times New Roman" w:hAnsi="Times New Roman" w:eastAsia="Times New Roman" w:cs="Times New Roman"/>
          <w:b w:val="0"/>
          <w:bCs w:val="0"/>
          <w:noProof w:val="0"/>
          <w:sz w:val="24"/>
          <w:szCs w:val="24"/>
          <w:lang w:val="en-US"/>
        </w:rPr>
        <w:t>FOR IMMEDIATE RELEASE</w:t>
      </w:r>
    </w:p>
    <w:p w:rsidR="00204B3C" w:rsidP="1FA90E78" w:rsidRDefault="00204B3C" w14:paraId="2DCAB91A" w14:textId="61215458">
      <w:pPr>
        <w:pStyle w:val="Normal"/>
        <w:rPr>
          <w:rFonts w:ascii="Times New Roman" w:hAnsi="Times New Roman" w:eastAsia="Times New Roman" w:cs="Times New Roman"/>
          <w:b w:val="1"/>
          <w:bCs w:val="1"/>
          <w:noProof w:val="0"/>
          <w:sz w:val="24"/>
          <w:szCs w:val="24"/>
          <w:lang w:val="en-US"/>
        </w:rPr>
      </w:pPr>
      <w:r w:rsidRPr="1FA90E78" w:rsidR="24A70E59">
        <w:rPr>
          <w:b w:val="1"/>
          <w:bCs w:val="1"/>
          <w:noProof w:val="0"/>
          <w:lang w:val="en-US"/>
        </w:rPr>
        <w:t>ACLU of Puerto Rico Urges Governor to Veto Senate Bill 350</w:t>
      </w:r>
    </w:p>
    <w:p w:rsidR="00204B3C" w:rsidP="1FA90E78" w:rsidRDefault="00204B3C" w14:paraId="3C1D0B1B" w14:textId="06A9C9CE">
      <w:pPr>
        <w:spacing w:before="240" w:beforeAutospacing="off" w:after="240" w:afterAutospacing="off"/>
        <w:jc w:val="left"/>
        <w:rPr>
          <w:rFonts w:ascii="Times New Roman" w:hAnsi="Times New Roman" w:eastAsia="Times New Roman" w:cs="Times New Roman"/>
          <w:b w:val="0"/>
          <w:bCs w:val="0"/>
          <w:i w:val="1"/>
          <w:iCs w:val="1"/>
          <w:noProof w:val="0"/>
          <w:sz w:val="24"/>
          <w:szCs w:val="24"/>
          <w:lang w:val="en-US"/>
        </w:rPr>
      </w:pPr>
      <w:r w:rsidRPr="1FA90E78" w:rsidR="24A70E59">
        <w:rPr>
          <w:rFonts w:ascii="Times New Roman" w:hAnsi="Times New Roman" w:eastAsia="Times New Roman" w:cs="Times New Roman"/>
          <w:b w:val="0"/>
          <w:bCs w:val="0"/>
          <w:i w:val="1"/>
          <w:iCs w:val="1"/>
          <w:noProof w:val="0"/>
          <w:sz w:val="24"/>
          <w:szCs w:val="24"/>
          <w:lang w:val="en-US"/>
        </w:rPr>
        <w:t>In a letter addressed to Jenniffer González Colón, the organization noted that the measure creates two distinct categories of children: one that allows parents to authorize treatments if the child's identity aligns with their sex assigned at birth, and another that prohibits parents the same right if their child's identity is different.</w:t>
      </w:r>
    </w:p>
    <w:p w:rsidR="00204B3C" w:rsidP="1FA90E78" w:rsidRDefault="00204B3C" w14:paraId="5B6958E7" w14:textId="19EF5FFE">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1FA90E78" w:rsidR="084CC519">
        <w:rPr>
          <w:rFonts w:ascii="Times New Roman" w:hAnsi="Times New Roman" w:eastAsia="Times New Roman" w:cs="Times New Roman"/>
          <w:b w:val="1"/>
          <w:bCs w:val="1"/>
          <w:noProof w:val="0"/>
          <w:sz w:val="24"/>
          <w:szCs w:val="24"/>
          <w:lang w:val="en-US"/>
        </w:rPr>
        <w:t>San Juan, P.R. -</w:t>
      </w:r>
      <w:r w:rsidRPr="1FA90E78" w:rsidR="084CC519">
        <w:rPr>
          <w:rFonts w:ascii="Times New Roman" w:hAnsi="Times New Roman" w:eastAsia="Times New Roman" w:cs="Times New Roman"/>
          <w:b w:val="0"/>
          <w:bCs w:val="0"/>
          <w:noProof w:val="0"/>
          <w:sz w:val="24"/>
          <w:szCs w:val="24"/>
          <w:lang w:val="en-US"/>
        </w:rPr>
        <w:t xml:space="preserve"> </w:t>
      </w:r>
      <w:r w:rsidRPr="1FA90E78" w:rsidR="24A70E59">
        <w:rPr>
          <w:rFonts w:ascii="Times New Roman" w:hAnsi="Times New Roman" w:eastAsia="Times New Roman" w:cs="Times New Roman"/>
          <w:b w:val="0"/>
          <w:bCs w:val="0"/>
          <w:noProof w:val="0"/>
          <w:sz w:val="24"/>
          <w:szCs w:val="24"/>
          <w:lang w:val="en-US"/>
        </w:rPr>
        <w:t xml:space="preserve">The American Civil Liberties Union (ACLU) of Puerto Rico </w:t>
      </w:r>
      <w:r w:rsidRPr="1FA90E78" w:rsidR="24A70E59">
        <w:rPr>
          <w:rFonts w:ascii="Times New Roman" w:hAnsi="Times New Roman" w:eastAsia="Times New Roman" w:cs="Times New Roman"/>
          <w:b w:val="0"/>
          <w:bCs w:val="0"/>
          <w:noProof w:val="0"/>
          <w:sz w:val="24"/>
          <w:szCs w:val="24"/>
          <w:lang w:val="en-US"/>
        </w:rPr>
        <w:t xml:space="preserve">called on Governor Jenniffer González Colón to veto Senate Bill 350, which </w:t>
      </w:r>
      <w:r w:rsidRPr="1FA90E78" w:rsidR="24A70E59">
        <w:rPr>
          <w:rFonts w:ascii="Times New Roman" w:hAnsi="Times New Roman" w:eastAsia="Times New Roman" w:cs="Times New Roman"/>
          <w:b w:val="0"/>
          <w:bCs w:val="0"/>
          <w:noProof w:val="0"/>
          <w:sz w:val="24"/>
          <w:szCs w:val="24"/>
          <w:lang w:val="en-US"/>
        </w:rPr>
        <w:t>criminalizes doctors and parents</w:t>
      </w:r>
      <w:r w:rsidRPr="1FA90E78" w:rsidR="24A70E59">
        <w:rPr>
          <w:rFonts w:ascii="Times New Roman" w:hAnsi="Times New Roman" w:eastAsia="Times New Roman" w:cs="Times New Roman"/>
          <w:b w:val="0"/>
          <w:bCs w:val="0"/>
          <w:noProof w:val="0"/>
          <w:sz w:val="24"/>
          <w:szCs w:val="24"/>
          <w:lang w:val="en-US"/>
        </w:rPr>
        <w:t xml:space="preserve"> and aims to prohibit gender-affirming medical treatments for individuals under the age of 21.</w:t>
      </w:r>
    </w:p>
    <w:p w:rsidR="00204B3C" w:rsidP="1FA90E78" w:rsidRDefault="00204B3C" w14:paraId="1584F209" w14:textId="6E2840A2">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1FA90E78" w:rsidR="24A70E59">
        <w:rPr>
          <w:rFonts w:ascii="Times New Roman" w:hAnsi="Times New Roman" w:eastAsia="Times New Roman" w:cs="Times New Roman"/>
          <w:b w:val="0"/>
          <w:bCs w:val="0"/>
          <w:noProof w:val="0"/>
          <w:sz w:val="24"/>
          <w:szCs w:val="24"/>
          <w:lang w:val="en-US"/>
        </w:rPr>
        <w:t xml:space="preserve">"Senate Bill 350, as written, not only excludes but creates two distinct categories of children: one that allows parents to access and authorize treatments if the child's identity aligns with the sex assigned at birth, and another that </w:t>
      </w:r>
      <w:r w:rsidRPr="1FA90E78" w:rsidR="24A70E59">
        <w:rPr>
          <w:rFonts w:ascii="Times New Roman" w:hAnsi="Times New Roman" w:eastAsia="Times New Roman" w:cs="Times New Roman"/>
          <w:b w:val="0"/>
          <w:bCs w:val="0"/>
          <w:noProof w:val="0"/>
          <w:sz w:val="24"/>
          <w:szCs w:val="24"/>
          <w:lang w:val="en-US"/>
        </w:rPr>
        <w:t>prohibits parents the same right</w:t>
      </w:r>
      <w:r w:rsidRPr="1FA90E78" w:rsidR="24A70E59">
        <w:rPr>
          <w:rFonts w:ascii="Times New Roman" w:hAnsi="Times New Roman" w:eastAsia="Times New Roman" w:cs="Times New Roman"/>
          <w:b w:val="0"/>
          <w:bCs w:val="0"/>
          <w:noProof w:val="0"/>
          <w:sz w:val="24"/>
          <w:szCs w:val="24"/>
          <w:lang w:val="en-US"/>
        </w:rPr>
        <w:t xml:space="preserve"> if their child's identity is different," stated </w:t>
      </w:r>
      <w:r w:rsidRPr="1FA90E78" w:rsidR="24A70E59">
        <w:rPr>
          <w:rFonts w:ascii="Times New Roman" w:hAnsi="Times New Roman" w:eastAsia="Times New Roman" w:cs="Times New Roman"/>
          <w:b w:val="0"/>
          <w:bCs w:val="0"/>
          <w:noProof w:val="0"/>
          <w:sz w:val="24"/>
          <w:szCs w:val="24"/>
          <w:lang w:val="en-US"/>
        </w:rPr>
        <w:t>Lolimar</w:t>
      </w:r>
      <w:r w:rsidRPr="1FA90E78" w:rsidR="24A70E59">
        <w:rPr>
          <w:rFonts w:ascii="Times New Roman" w:hAnsi="Times New Roman" w:eastAsia="Times New Roman" w:cs="Times New Roman"/>
          <w:b w:val="0"/>
          <w:bCs w:val="0"/>
          <w:noProof w:val="0"/>
          <w:sz w:val="24"/>
          <w:szCs w:val="24"/>
          <w:lang w:val="en-US"/>
        </w:rPr>
        <w:t xml:space="preserve"> Escudero Rodríguez, Esq., Policy Counsel for the ACLU of Puerto Rico</w:t>
      </w:r>
      <w:r w:rsidRPr="1FA90E78" w:rsidR="24A70E59">
        <w:rPr>
          <w:rFonts w:ascii="Times New Roman" w:hAnsi="Times New Roman" w:eastAsia="Times New Roman" w:cs="Times New Roman"/>
          <w:b w:val="0"/>
          <w:bCs w:val="0"/>
          <w:noProof w:val="0"/>
          <w:sz w:val="24"/>
          <w:szCs w:val="24"/>
          <w:lang w:val="en-US"/>
        </w:rPr>
        <w:t>, in the letter sent to the Governor on July 15.</w:t>
      </w:r>
    </w:p>
    <w:p w:rsidR="00204B3C" w:rsidP="1FA90E78" w:rsidRDefault="00204B3C" w14:paraId="5E9DC41A" w14:textId="26A925CA">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1FA90E78" w:rsidR="24A70E59">
        <w:rPr>
          <w:rFonts w:ascii="Times New Roman" w:hAnsi="Times New Roman" w:eastAsia="Times New Roman" w:cs="Times New Roman"/>
          <w:b w:val="0"/>
          <w:bCs w:val="0"/>
          <w:noProof w:val="0"/>
          <w:sz w:val="24"/>
          <w:szCs w:val="24"/>
          <w:lang w:val="en-US"/>
        </w:rPr>
        <w:t xml:space="preserve">Senate Bill 350, authored by Senate President Thomas Rivera Schatz and Senator Joanne Rodríguez Veve, was approved by the Senate and the House and sent to La Fortaleza on April 11. The Governor returned it to the Legislature for the inclusion of amendments suggested by Health Secretary Víctor Ramos </w:t>
      </w:r>
      <w:r w:rsidRPr="1FA90E78" w:rsidR="24A70E59">
        <w:rPr>
          <w:rFonts w:ascii="Times New Roman" w:hAnsi="Times New Roman" w:eastAsia="Times New Roman" w:cs="Times New Roman"/>
          <w:b w:val="0"/>
          <w:bCs w:val="0"/>
          <w:noProof w:val="0"/>
          <w:sz w:val="24"/>
          <w:szCs w:val="24"/>
          <w:lang w:val="en-US"/>
        </w:rPr>
        <w:t>Parés</w:t>
      </w:r>
      <w:r w:rsidRPr="1FA90E78" w:rsidR="24A70E59">
        <w:rPr>
          <w:rFonts w:ascii="Times New Roman" w:hAnsi="Times New Roman" w:eastAsia="Times New Roman" w:cs="Times New Roman"/>
          <w:b w:val="0"/>
          <w:bCs w:val="0"/>
          <w:noProof w:val="0"/>
          <w:sz w:val="24"/>
          <w:szCs w:val="24"/>
          <w:lang w:val="en-US"/>
        </w:rPr>
        <w:t xml:space="preserve">, which </w:t>
      </w:r>
      <w:r w:rsidRPr="1FA90E78" w:rsidR="24A70E59">
        <w:rPr>
          <w:rFonts w:ascii="Times New Roman" w:hAnsi="Times New Roman" w:eastAsia="Times New Roman" w:cs="Times New Roman"/>
          <w:b w:val="0"/>
          <w:bCs w:val="0"/>
          <w:noProof w:val="0"/>
          <w:sz w:val="24"/>
          <w:szCs w:val="24"/>
          <w:lang w:val="en-US"/>
        </w:rPr>
        <w:t>do not remedy the violation of fundamental constitutional, civil, and human rights</w:t>
      </w:r>
      <w:r w:rsidRPr="1FA90E78" w:rsidR="24A70E59">
        <w:rPr>
          <w:rFonts w:ascii="Times New Roman" w:hAnsi="Times New Roman" w:eastAsia="Times New Roman" w:cs="Times New Roman"/>
          <w:b w:val="0"/>
          <w:bCs w:val="0"/>
          <w:noProof w:val="0"/>
          <w:sz w:val="24"/>
          <w:szCs w:val="24"/>
          <w:lang w:val="en-US"/>
        </w:rPr>
        <w:t xml:space="preserve">, the ACLU warned. The measure was </w:t>
      </w:r>
      <w:r w:rsidRPr="1FA90E78" w:rsidR="24A70E59">
        <w:rPr>
          <w:rFonts w:ascii="Times New Roman" w:hAnsi="Times New Roman" w:eastAsia="Times New Roman" w:cs="Times New Roman"/>
          <w:b w:val="0"/>
          <w:bCs w:val="0"/>
          <w:noProof w:val="0"/>
          <w:sz w:val="24"/>
          <w:szCs w:val="24"/>
          <w:lang w:val="en-US"/>
        </w:rPr>
        <w:t>again</w:t>
      </w:r>
      <w:r w:rsidRPr="1FA90E78" w:rsidR="24A70E59">
        <w:rPr>
          <w:rFonts w:ascii="Times New Roman" w:hAnsi="Times New Roman" w:eastAsia="Times New Roman" w:cs="Times New Roman"/>
          <w:b w:val="0"/>
          <w:bCs w:val="0"/>
          <w:noProof w:val="0"/>
          <w:sz w:val="24"/>
          <w:szCs w:val="24"/>
          <w:lang w:val="en-US"/>
        </w:rPr>
        <w:t xml:space="preserve"> approved by both chambers and sent back to the Governor on June 28, according to the events recorded in the Unified Legislative Processing System (SUTRA).</w:t>
      </w:r>
    </w:p>
    <w:p w:rsidR="00204B3C" w:rsidP="1FA90E78" w:rsidRDefault="00204B3C" w14:paraId="65BAE640" w14:textId="35D12173">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1FA90E78" w:rsidR="24A70E59">
        <w:rPr>
          <w:rFonts w:ascii="Times New Roman" w:hAnsi="Times New Roman" w:eastAsia="Times New Roman" w:cs="Times New Roman"/>
          <w:b w:val="0"/>
          <w:bCs w:val="0"/>
          <w:noProof w:val="0"/>
          <w:sz w:val="24"/>
          <w:szCs w:val="24"/>
          <w:lang w:val="en-US"/>
        </w:rPr>
        <w:t xml:space="preserve">Although the measure is titled "Act for the Protection of Health and Well-being of Minors in Puerto Rico," its text is clearly and exclusively aimed at minors whose identity does not correspond to the sex assigned to them at birth. The Bill, in addition to ignoring the position of specialists on the matter, </w:t>
      </w:r>
      <w:r w:rsidRPr="1FA90E78" w:rsidR="24A70E59">
        <w:rPr>
          <w:rFonts w:ascii="Times New Roman" w:hAnsi="Times New Roman" w:eastAsia="Times New Roman" w:cs="Times New Roman"/>
          <w:b w:val="0"/>
          <w:bCs w:val="0"/>
          <w:noProof w:val="0"/>
          <w:sz w:val="24"/>
          <w:szCs w:val="24"/>
          <w:lang w:val="en-US"/>
        </w:rPr>
        <w:t>disregards the rigorous medical and specialized consultation process</w:t>
      </w:r>
      <w:r w:rsidRPr="1FA90E78" w:rsidR="24A70E59">
        <w:rPr>
          <w:rFonts w:ascii="Times New Roman" w:hAnsi="Times New Roman" w:eastAsia="Times New Roman" w:cs="Times New Roman"/>
          <w:b w:val="0"/>
          <w:bCs w:val="0"/>
          <w:noProof w:val="0"/>
          <w:sz w:val="24"/>
          <w:szCs w:val="24"/>
          <w:lang w:val="en-US"/>
        </w:rPr>
        <w:t xml:space="preserve"> that precedes the determination of parents who authorize such treatments—puberty blockers or hormonal treatments—and instead, criminalizes them.</w:t>
      </w:r>
    </w:p>
    <w:p w:rsidR="00204B3C" w:rsidP="1FA90E78" w:rsidRDefault="00204B3C" w14:paraId="000A3BCC" w14:textId="24DEB39D">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1FA90E78" w:rsidR="24A70E59">
        <w:rPr>
          <w:rFonts w:ascii="Times New Roman" w:hAnsi="Times New Roman" w:eastAsia="Times New Roman" w:cs="Times New Roman"/>
          <w:b w:val="0"/>
          <w:bCs w:val="0"/>
          <w:noProof w:val="0"/>
          <w:sz w:val="24"/>
          <w:szCs w:val="24"/>
          <w:lang w:val="en-US"/>
        </w:rPr>
        <w:t>"We urge you to consider the devastating impact of this legislation on the lives of many Puerto Rican youth and on medical practice on the island," Escudero Rodríguez asserted.</w:t>
      </w:r>
    </w:p>
    <w:p w:rsidR="00204B3C" w:rsidP="1FA90E78" w:rsidRDefault="00204B3C" w14:paraId="511DA5F2" w14:textId="314B22AC">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1FA90E78" w:rsidR="24A70E59">
        <w:rPr>
          <w:rFonts w:ascii="Times New Roman" w:hAnsi="Times New Roman" w:eastAsia="Times New Roman" w:cs="Times New Roman"/>
          <w:b w:val="0"/>
          <w:bCs w:val="0"/>
          <w:noProof w:val="0"/>
          <w:sz w:val="24"/>
          <w:szCs w:val="24"/>
          <w:lang w:val="en-US"/>
        </w:rPr>
        <w:t>Locally, the consensus among specialists on this issue is that the measure should not be signed into law, a stance shared by the ACLU of Puerto Rico. The list of entities that have expressed their opposition includes the Puerto Rico College of Physicians and Surgeons, the Puerto Rico Psychology Association, the College of Social Work Professionals, the Puerto Rican Association of Professional Counseling, and the Puerto Rico Bar Association, the LGBTQ+ Federation of Puerto Rico, among others.</w:t>
      </w:r>
    </w:p>
    <w:p w:rsidR="00204B3C" w:rsidP="1FA90E78" w:rsidRDefault="00204B3C" w14:paraId="2506EAE6" w14:textId="5CCDA15E">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1FA90E78" w:rsidR="24A70E59">
        <w:rPr>
          <w:rFonts w:ascii="Times New Roman" w:hAnsi="Times New Roman" w:eastAsia="Times New Roman" w:cs="Times New Roman"/>
          <w:b w:val="0"/>
          <w:bCs w:val="0"/>
          <w:noProof w:val="0"/>
          <w:sz w:val="24"/>
          <w:szCs w:val="24"/>
          <w:lang w:val="en-US"/>
        </w:rPr>
        <w:t xml:space="preserve">"The ACLU strongly rejects the approval of a measure that not only criminalizes parents and doctors but directly discriminates against transgender people and denies the existence of trans children and youth, whose very lives may be at risk," argued </w:t>
      </w:r>
      <w:r w:rsidRPr="1FA90E78" w:rsidR="24A70E59">
        <w:rPr>
          <w:rFonts w:ascii="Times New Roman" w:hAnsi="Times New Roman" w:eastAsia="Times New Roman" w:cs="Times New Roman"/>
          <w:b w:val="0"/>
          <w:bCs w:val="0"/>
          <w:noProof w:val="0"/>
          <w:sz w:val="24"/>
          <w:szCs w:val="24"/>
          <w:lang w:val="en-US"/>
        </w:rPr>
        <w:t>Annette Martínez Orabona, Executive Director of the ACLU of Puerto Rico.</w:t>
      </w:r>
    </w:p>
    <w:p w:rsidR="00204B3C" w:rsidP="1FA90E78" w:rsidRDefault="00204B3C" w14:paraId="078F7AFC" w14:textId="46514AE9">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1FA90E78" w:rsidR="24A70E59">
        <w:rPr>
          <w:rFonts w:ascii="Times New Roman" w:hAnsi="Times New Roman" w:eastAsia="Times New Roman" w:cs="Times New Roman"/>
          <w:b w:val="0"/>
          <w:bCs w:val="0"/>
          <w:noProof w:val="0"/>
          <w:sz w:val="24"/>
          <w:szCs w:val="24"/>
          <w:lang w:val="en-US"/>
        </w:rPr>
        <w:t xml:space="preserve">"The bill ignores evidence and cases in Puerto Rico that exemplify that the use of gender-affirming treatments in minors is a decision accompanied by a battery of doctors and specialists who </w:t>
      </w:r>
      <w:r w:rsidRPr="1FA90E78" w:rsidR="24A70E59">
        <w:rPr>
          <w:rFonts w:ascii="Times New Roman" w:hAnsi="Times New Roman" w:eastAsia="Times New Roman" w:cs="Times New Roman"/>
          <w:b w:val="0"/>
          <w:bCs w:val="0"/>
          <w:noProof w:val="0"/>
          <w:sz w:val="24"/>
          <w:szCs w:val="24"/>
          <w:lang w:val="en-US"/>
        </w:rPr>
        <w:t>conclude that such action is in the minor's best interest and supports the optimal development of their whole self</w:t>
      </w:r>
      <w:r w:rsidRPr="1FA90E78" w:rsidR="24A70E59">
        <w:rPr>
          <w:rFonts w:ascii="Times New Roman" w:hAnsi="Times New Roman" w:eastAsia="Times New Roman" w:cs="Times New Roman"/>
          <w:b w:val="0"/>
          <w:bCs w:val="0"/>
          <w:noProof w:val="0"/>
          <w:sz w:val="24"/>
          <w:szCs w:val="24"/>
          <w:lang w:val="en-US"/>
        </w:rPr>
        <w:t>," she underscored.</w:t>
      </w:r>
    </w:p>
    <w:p w:rsidR="00204B3C" w:rsidP="1FA90E78" w:rsidRDefault="00204B3C" w14:paraId="590671E2" w14:textId="623370FB">
      <w:pPr>
        <w:jc w:val="left"/>
      </w:pPr>
    </w:p>
    <w:p w:rsidR="00204B3C" w:rsidP="1FA90E78" w:rsidRDefault="00204B3C" w14:paraId="72D76D3F" w14:textId="2463C80E">
      <w:pPr>
        <w:spacing w:before="240" w:beforeAutospacing="off" w:after="240" w:afterAutospacing="off"/>
        <w:jc w:val="left"/>
      </w:pPr>
      <w:r w:rsidRPr="1FA90E78" w:rsidR="24A70E59">
        <w:rPr>
          <w:rFonts w:ascii="Times New Roman" w:hAnsi="Times New Roman" w:eastAsia="Times New Roman" w:cs="Times New Roman"/>
          <w:b w:val="1"/>
          <w:bCs w:val="1"/>
          <w:noProof w:val="0"/>
          <w:sz w:val="24"/>
          <w:szCs w:val="24"/>
          <w:lang w:val="en-US"/>
        </w:rPr>
        <w:t>Contact:</w:t>
      </w:r>
      <w:r w:rsidRPr="1FA90E78" w:rsidR="24A70E59">
        <w:rPr>
          <w:rFonts w:ascii="Times New Roman" w:hAnsi="Times New Roman" w:eastAsia="Times New Roman" w:cs="Times New Roman"/>
          <w:noProof w:val="0"/>
          <w:sz w:val="24"/>
          <w:szCs w:val="24"/>
          <w:lang w:val="en-US"/>
        </w:rPr>
        <w:t xml:space="preserve"> </w:t>
      </w:r>
    </w:p>
    <w:p w:rsidR="00204B3C" w:rsidP="1FA90E78" w:rsidRDefault="00204B3C" w14:paraId="30108248" w14:textId="6E20BC65">
      <w:pPr>
        <w:spacing w:before="0" w:beforeAutospacing="off" w:after="20" w:afterAutospacing="off"/>
        <w:jc w:val="left"/>
      </w:pPr>
      <w:r w:rsidRPr="1FA90E78" w:rsidR="24A70E59">
        <w:rPr>
          <w:rFonts w:ascii="Times New Roman" w:hAnsi="Times New Roman" w:eastAsia="Times New Roman" w:cs="Times New Roman"/>
          <w:noProof w:val="0"/>
          <w:sz w:val="24"/>
          <w:szCs w:val="24"/>
          <w:lang w:val="en-US"/>
        </w:rPr>
        <w:t xml:space="preserve">David Cordero Mercado </w:t>
      </w:r>
    </w:p>
    <w:p w:rsidR="00204B3C" w:rsidP="1FA90E78" w:rsidRDefault="00204B3C" w14:paraId="5BA14BBB" w14:textId="14A3AEDB">
      <w:pPr>
        <w:spacing w:before="0" w:beforeAutospacing="off" w:after="20" w:afterAutospacing="off"/>
        <w:jc w:val="left"/>
      </w:pPr>
      <w:r w:rsidRPr="1FA90E78" w:rsidR="24A70E59">
        <w:rPr>
          <w:rFonts w:ascii="Times New Roman" w:hAnsi="Times New Roman" w:eastAsia="Times New Roman" w:cs="Times New Roman"/>
          <w:noProof w:val="0"/>
          <w:sz w:val="24"/>
          <w:szCs w:val="24"/>
          <w:lang w:val="en-US"/>
        </w:rPr>
        <w:t xml:space="preserve">Communications Director – ACLU of Puerto Rico </w:t>
      </w:r>
    </w:p>
    <w:p w:rsidR="00204B3C" w:rsidP="1FA90E78" w:rsidRDefault="00204B3C" w14:paraId="7267F205" w14:textId="2229EE02">
      <w:pPr>
        <w:spacing w:before="0" w:beforeAutospacing="off" w:after="20" w:afterAutospacing="off"/>
        <w:jc w:val="left"/>
      </w:pPr>
      <w:r w:rsidRPr="1FA90E78" w:rsidR="24A70E59">
        <w:rPr>
          <w:rFonts w:ascii="Times New Roman" w:hAnsi="Times New Roman" w:eastAsia="Times New Roman" w:cs="Times New Roman"/>
          <w:noProof w:val="0"/>
          <w:sz w:val="24"/>
          <w:szCs w:val="24"/>
          <w:lang w:val="en-US"/>
        </w:rPr>
        <w:t>(787) 247-9057</w:t>
      </w:r>
    </w:p>
    <w:p w:rsidR="00204B3C" w:rsidP="1FA90E78" w:rsidRDefault="00204B3C" w14:paraId="2C078E63" w14:textId="1A5E0291">
      <w:pPr>
        <w:pStyle w:val="Normal"/>
        <w:spacing w:after="2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sectPr w:rsidR="00204B3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4F68C3"/>
    <w:rsid w:val="00204B3C"/>
    <w:rsid w:val="00B42539"/>
    <w:rsid w:val="02240B95"/>
    <w:rsid w:val="0438835C"/>
    <w:rsid w:val="0590606D"/>
    <w:rsid w:val="06679099"/>
    <w:rsid w:val="07E37DE1"/>
    <w:rsid w:val="084CC519"/>
    <w:rsid w:val="0B4F68C3"/>
    <w:rsid w:val="0BF5BD3C"/>
    <w:rsid w:val="0F0A9C31"/>
    <w:rsid w:val="10299F38"/>
    <w:rsid w:val="12546EBB"/>
    <w:rsid w:val="137B175D"/>
    <w:rsid w:val="16526BC6"/>
    <w:rsid w:val="169BE8D2"/>
    <w:rsid w:val="17B5F7F2"/>
    <w:rsid w:val="1AEE4DAD"/>
    <w:rsid w:val="1F4A7B9D"/>
    <w:rsid w:val="1FA90E78"/>
    <w:rsid w:val="1FB67CCB"/>
    <w:rsid w:val="202CC970"/>
    <w:rsid w:val="2172E9E0"/>
    <w:rsid w:val="220CF3FB"/>
    <w:rsid w:val="22429799"/>
    <w:rsid w:val="24A70E59"/>
    <w:rsid w:val="283F13B8"/>
    <w:rsid w:val="28655D45"/>
    <w:rsid w:val="28DEE52D"/>
    <w:rsid w:val="28F06D1B"/>
    <w:rsid w:val="2909536A"/>
    <w:rsid w:val="2B220396"/>
    <w:rsid w:val="2DD55F8D"/>
    <w:rsid w:val="2E4E92E2"/>
    <w:rsid w:val="2FBC0CF7"/>
    <w:rsid w:val="3111E500"/>
    <w:rsid w:val="31F037DF"/>
    <w:rsid w:val="3206CC81"/>
    <w:rsid w:val="36AA76E4"/>
    <w:rsid w:val="389E1B76"/>
    <w:rsid w:val="393829FA"/>
    <w:rsid w:val="3A65B738"/>
    <w:rsid w:val="3B5E4B85"/>
    <w:rsid w:val="3DEA5B6A"/>
    <w:rsid w:val="3E1FC94A"/>
    <w:rsid w:val="3FA078DB"/>
    <w:rsid w:val="41464FC9"/>
    <w:rsid w:val="4522E84C"/>
    <w:rsid w:val="47CCE404"/>
    <w:rsid w:val="47EA6509"/>
    <w:rsid w:val="4975172E"/>
    <w:rsid w:val="4A99299C"/>
    <w:rsid w:val="4C799358"/>
    <w:rsid w:val="4ED81FA0"/>
    <w:rsid w:val="4F5F1F48"/>
    <w:rsid w:val="520BC8F9"/>
    <w:rsid w:val="564A06FC"/>
    <w:rsid w:val="57A918CA"/>
    <w:rsid w:val="57CF4AF2"/>
    <w:rsid w:val="58883A88"/>
    <w:rsid w:val="5A000E8C"/>
    <w:rsid w:val="5C05B62B"/>
    <w:rsid w:val="5C124775"/>
    <w:rsid w:val="5E9A8F6A"/>
    <w:rsid w:val="6252D9BE"/>
    <w:rsid w:val="62CAE09C"/>
    <w:rsid w:val="642C1024"/>
    <w:rsid w:val="643ACA5B"/>
    <w:rsid w:val="64F141C3"/>
    <w:rsid w:val="656217E3"/>
    <w:rsid w:val="65ADC729"/>
    <w:rsid w:val="664D3211"/>
    <w:rsid w:val="6684134C"/>
    <w:rsid w:val="6AD0CA66"/>
    <w:rsid w:val="6C3F36DF"/>
    <w:rsid w:val="6C80AD2A"/>
    <w:rsid w:val="6C8A56A9"/>
    <w:rsid w:val="6ECFBFEE"/>
    <w:rsid w:val="6F372D73"/>
    <w:rsid w:val="7100B045"/>
    <w:rsid w:val="7450D2F3"/>
    <w:rsid w:val="75588AC3"/>
    <w:rsid w:val="7609B0B8"/>
    <w:rsid w:val="77FF1BD7"/>
    <w:rsid w:val="78CDB87D"/>
    <w:rsid w:val="7C952552"/>
    <w:rsid w:val="7DE7C97B"/>
    <w:rsid w:val="7FF2E2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68C3"/>
  <w15:chartTrackingRefBased/>
  <w15:docId w15:val="{B12B8013-147F-4D73-8A11-843AAA4D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36253208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3</revision>
  <dcterms:created xsi:type="dcterms:W3CDTF">2025-07-16T14:35:00.0000000Z</dcterms:created>
  <dcterms:modified xsi:type="dcterms:W3CDTF">2025-09-29T04:34:24.5971212Z</dcterms:modified>
</coreProperties>
</file>