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D4BDBAF" w:rsidP="6E02591D" w:rsidRDefault="1D4BDBAF" w14:paraId="78C6FA8C" w14:textId="56306AA3">
      <w:pPr>
        <w:pStyle w:val="Normal"/>
        <w:jc w:val="center"/>
      </w:pPr>
      <w:r w:rsidR="1D4BDBAF">
        <w:drawing>
          <wp:inline wp14:editId="2C6DEDB8" wp14:anchorId="2617BEED">
            <wp:extent cx="2971800" cy="990600"/>
            <wp:effectExtent l="0" t="0" r="0" b="0"/>
            <wp:docPr id="314131639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4131639" name=""/>
                    <pic:cNvPicPr/>
                  </pic:nvPicPr>
                  <pic:blipFill>
                    <a:blip xmlns:r="http://schemas.openxmlformats.org/officeDocument/2006/relationships" r:embed="rId139092909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D4BDBAF" w:rsidP="6E02591D" w:rsidRDefault="1D4BDBAF" w14:paraId="05A4B224" w14:textId="087BBCC3">
      <w:pPr>
        <w:pStyle w:val="Heading2"/>
        <w:spacing w:before="299" w:beforeAutospacing="off" w:after="299" w:afterAutospacing="off"/>
        <w:jc w:val="righ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3"/>
          <w:szCs w:val="23"/>
          <w:lang w:val="es-ES"/>
        </w:rPr>
        <w:t>October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3"/>
          <w:szCs w:val="23"/>
          <w:lang w:val="es-ES"/>
        </w:rPr>
        <w:t xml:space="preserve"> 1, 2025</w:t>
      </w:r>
    </w:p>
    <w:p w:rsidR="1D4BDBAF" w:rsidP="6E02591D" w:rsidRDefault="1D4BDBAF" w14:paraId="42294CF4" w14:textId="0D971898">
      <w:pPr>
        <w:pStyle w:val="Heading1"/>
        <w:spacing w:before="322" w:beforeAutospacing="off" w:after="322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PRESS RELEASE</w:t>
      </w:r>
    </w:p>
    <w:p w:rsidR="1D4BDBAF" w:rsidP="6E02591D" w:rsidRDefault="1D4BDBAF" w14:paraId="3D72A7AC" w14:textId="5830BE6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FOR IMMEDIATE RELEASE</w:t>
      </w:r>
    </w:p>
    <w:p w:rsidR="6E02591D" w:rsidP="6E02591D" w:rsidRDefault="6E02591D" w14:paraId="5A8D7B73" w14:textId="694FDCD8">
      <w:pPr>
        <w:rPr>
          <w:rFonts w:ascii="Times New Roman" w:hAnsi="Times New Roman" w:eastAsia="Times New Roman" w:cs="Times New Roman"/>
          <w:color w:val="auto"/>
          <w:sz w:val="23"/>
          <w:szCs w:val="23"/>
        </w:rPr>
      </w:pPr>
    </w:p>
    <w:p w:rsidR="1D4BDBAF" w:rsidP="6E02591D" w:rsidRDefault="1D4BDBAF" w14:paraId="7A3FD6DA" w14:textId="49F5C73C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ACLU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Puerto Rico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Sues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DTOP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for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Concealing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Regarding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Mass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Transfer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Data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on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Approximately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6,000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Migrants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3"/>
          <w:szCs w:val="23"/>
          <w:lang w:val="es-ES"/>
        </w:rPr>
        <w:t xml:space="preserve"> ICE</w:t>
      </w:r>
    </w:p>
    <w:p w:rsidR="1D4BDBAF" w:rsidP="6E02591D" w:rsidRDefault="1D4BDBAF" w14:paraId="6D78AC0A" w14:textId="302C290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Demands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immediate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delivery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all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documents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related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data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handover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an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action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has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facilitated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rights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violations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against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immigrants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in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archipelago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3"/>
          <w:szCs w:val="23"/>
          <w:lang w:val="es-ES"/>
        </w:rPr>
        <w:t>.</w:t>
      </w:r>
    </w:p>
    <w:p w:rsidR="1D4BDBAF" w:rsidP="6E02591D" w:rsidRDefault="1D4BDBAF" w14:paraId="64CE54A2" w14:textId="411B000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San Juan, P.R.</w:t>
      </w: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–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American Civil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Liberties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Union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(ACLU)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Puerto Rico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today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filed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Petition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for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Writ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Mandamus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before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Court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First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Instance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 San Juan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against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Secretary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Department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Transportation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Works (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DTOP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), Edwin González Montalvo,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Commonwealth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Puerto Rico (ELA),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demanding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government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immediately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turn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over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all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documents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related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transfer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confidential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concerning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nearly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6,000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migrants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who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obtained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driver’s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licenses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under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No. 97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2013.</w:t>
      </w:r>
    </w:p>
    <w:p w:rsidR="1D4BDBAF" w:rsidP="6E02591D" w:rsidRDefault="1D4BDBAF" w14:paraId="418C68CD" w14:textId="41600E1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ACLU-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PR’s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arises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after DTOP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refused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provide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copies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requests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issued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Department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Homeland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Security (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DHS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) and agencies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such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Immigration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Customs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Enforcement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(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ICE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), 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well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legal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assessments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was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ultimately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handed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over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comply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with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those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requests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.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agency's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response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was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based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generalities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failing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legally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substantiate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claim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confidentiality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which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constitutes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breach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 ministerial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duty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blatant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violation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constitutional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right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access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 Puerto Rico.</w:t>
      </w:r>
    </w:p>
    <w:p w:rsidR="1D4BDBAF" w:rsidP="6E02591D" w:rsidRDefault="1D4BDBAF" w14:paraId="15337753" w14:textId="0C4A658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"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legislative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intent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law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was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precisely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protect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data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for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non-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immigration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purposes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making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government's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action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illegal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when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it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provided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a federal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entity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without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apparently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, a judicial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order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signed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by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judge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,"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stated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Annette Martínez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Orabona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, Executive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Director</w:t>
      </w:r>
    </w:p>
    <w:p w:rsidR="1D4BDBAF" w:rsidP="6E02591D" w:rsidRDefault="1D4BDBAF" w14:paraId="11C4F35A" w14:textId="5F059F2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ACLU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Puerto Rico. "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If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such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an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order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exists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what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we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are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requesting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precisely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it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be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made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, in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compliance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with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constitutional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mandate,"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she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maintained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n-US"/>
        </w:rPr>
        <w:t>.</w:t>
      </w:r>
    </w:p>
    <w:p w:rsidR="1D4BDBAF" w:rsidP="6E02591D" w:rsidRDefault="1D4BDBAF" w14:paraId="0AE582D7" w14:textId="29BD6A2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lawsuit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based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revelation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DTOP,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between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February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March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2025,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handed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over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federal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immigration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agencies personal data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about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6,000 drivers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with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undocumented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immigration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status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.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Subsequently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federal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government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itself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confirmed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data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actively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being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used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identify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locate,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arrest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without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 judicial warrant,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deport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immigrants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.</w:t>
      </w:r>
    </w:p>
    <w:p w:rsidR="1D4BDBAF" w:rsidP="6E02591D" w:rsidRDefault="1D4BDBAF" w14:paraId="4CD6FC0D" w14:textId="60F6067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ACLU-PR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stressed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government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Puerto Rico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was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carried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out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direct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contravention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97-2013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itself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which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mandates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DTOP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Secretary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establish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necessary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mechanisms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so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registry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cannot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be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used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discriminate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disclose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.</w:t>
      </w:r>
    </w:p>
    <w:p w:rsidR="1D4BDBAF" w:rsidP="6E02591D" w:rsidRDefault="1D4BDBAF" w14:paraId="1016C031" w14:textId="1849E81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"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DTOP’s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negligence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has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had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devastating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irreversible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consequences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our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government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has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become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complicit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systematic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human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rights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violations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,"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asserted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Fermín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Arraiza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Navas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Legal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Director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ACLU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Puerto Rico. "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are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facing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humanitarian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crisis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created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government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itself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where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most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detainees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have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not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been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able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contact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their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families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have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been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deprived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due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process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law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have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been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illegally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removed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from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our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jurisdiction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.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has a fundamental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right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know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under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legal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assumptions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thousands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lives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at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risk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was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handed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over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,"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Arraiza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Navas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stressed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.</w:t>
      </w:r>
    </w:p>
    <w:p w:rsidR="1D4BDBAF" w:rsidP="6E02591D" w:rsidRDefault="1D4BDBAF" w14:paraId="36F184C7" w14:textId="59E6664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From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January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year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until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September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21, ICE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had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arrested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at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least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1,128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immigrants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.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essential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remember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both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U.S. and Puerto Rico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Constitutions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protect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all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individuals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(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not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just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those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with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citizenship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),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guaranteeing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fundamental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rights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such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due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process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law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.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Constitution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Puerto Rico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clear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obligation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non-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discrimination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establishing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no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person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 Puerto Rico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shall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be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denied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equal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protection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laws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.</w:t>
      </w:r>
    </w:p>
    <w:p w:rsidR="1D4BDBAF" w:rsidP="6E02591D" w:rsidRDefault="1D4BDBAF" w14:paraId="7F0D9CF9" w14:textId="5549292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June 10, 2025,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ACLU-PR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formalized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access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request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DTOP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demanding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among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other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documents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internal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guidelines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protocols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for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evaluating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requests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from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federal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government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copy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every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request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issued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DHS, ICE,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U.S.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Customs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Border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Protection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(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CBP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)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since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January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20, 2025, copies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agency’s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legal memoranda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evaluating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admissibility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such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requests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communications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with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other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agencies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about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requests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and copies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all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handed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over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fulfill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requests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.</w:t>
      </w:r>
    </w:p>
    <w:p w:rsidR="1D4BDBAF" w:rsidP="6E02591D" w:rsidRDefault="1D4BDBAF" w14:paraId="15229D13" w14:textId="6AC35E3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Law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Transparency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Expedited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Procedure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for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Access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(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No. 141-2019)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establishes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"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right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access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information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constitutional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pillar and a fundamental human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right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."</w:t>
      </w:r>
    </w:p>
    <w:p w:rsidR="1D4BDBAF" w:rsidP="6E02591D" w:rsidRDefault="1D4BDBAF" w14:paraId="53E13A19" w14:textId="2E7F0CA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</w:pP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"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Transparency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affairs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indispensable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element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democratic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system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has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an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inalienable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right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know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openly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candidly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how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decisions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affect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us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all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can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result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in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limiting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physical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liberty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disappearance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people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are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made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,"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stated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Arraiza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Navas. "DTOP has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ministerial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duty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be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accountable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jurisprudence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has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already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recognized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that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to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guarantee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this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fundamental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right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documents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such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as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those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requested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are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public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nature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and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cannot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 be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withheld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 xml:space="preserve">," he 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maintained</w:t>
      </w:r>
      <w:r w:rsidRPr="6E02591D" w:rsidR="1D4BDBAF">
        <w:rPr>
          <w:rFonts w:ascii="Times New Roman" w:hAnsi="Times New Roman" w:eastAsia="Times New Roman" w:cs="Times New Roman"/>
          <w:b w:val="0"/>
          <w:bCs w:val="0"/>
          <w:noProof w:val="0"/>
          <w:sz w:val="23"/>
          <w:szCs w:val="23"/>
          <w:lang w:val="es-ES"/>
        </w:rPr>
        <w:t>.</w:t>
      </w:r>
    </w:p>
    <w:p w:rsidR="1D4BDBAF" w:rsidP="6E02591D" w:rsidRDefault="1D4BDBAF" w14:paraId="345108A5" w14:textId="6B7DE96F">
      <w:pPr>
        <w:spacing w:before="240" w:beforeAutospacing="off" w:after="240" w:afterAutospacing="off"/>
      </w:pP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Contact</w:t>
      </w:r>
      <w:r w:rsidRPr="6E02591D" w:rsidR="1D4BDBAF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:</w:t>
      </w: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</w:p>
    <w:p w:rsidR="1D4BDBAF" w:rsidP="6E02591D" w:rsidRDefault="1D4BDBAF" w14:paraId="4AA0CE77" w14:textId="1BB5BF3F">
      <w:pPr>
        <w:spacing w:before="0" w:beforeAutospacing="off" w:after="20" w:afterAutospacing="off"/>
      </w:pP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David Cordero Mercado </w:t>
      </w:r>
    </w:p>
    <w:p w:rsidR="1D4BDBAF" w:rsidP="6E02591D" w:rsidRDefault="1D4BDBAF" w14:paraId="11766A27" w14:textId="0D418340">
      <w:pPr>
        <w:spacing w:before="0" w:beforeAutospacing="off" w:after="20" w:afterAutospacing="off"/>
      </w:pP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Communications</w:t>
      </w: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</w:t>
      </w: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Director</w:t>
      </w: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– ACLU </w:t>
      </w: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of</w:t>
      </w: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 xml:space="preserve"> Puerto Rico </w:t>
      </w:r>
    </w:p>
    <w:p w:rsidR="1D4BDBAF" w:rsidP="6E02591D" w:rsidRDefault="1D4BDBAF" w14:paraId="764DD631" w14:textId="03C6C705">
      <w:pPr>
        <w:spacing w:before="0" w:beforeAutospacing="off" w:after="20" w:afterAutospacing="off"/>
      </w:pPr>
      <w:r w:rsidRPr="6E02591D" w:rsidR="1D4BDBAF">
        <w:rPr>
          <w:rFonts w:ascii="Times New Roman" w:hAnsi="Times New Roman" w:eastAsia="Times New Roman" w:cs="Times New Roman"/>
          <w:noProof w:val="0"/>
          <w:sz w:val="23"/>
          <w:szCs w:val="23"/>
          <w:lang w:val="es-ES"/>
        </w:rPr>
        <w:t>(787) 247-9057</w:t>
      </w:r>
    </w:p>
    <w:p w:rsidR="6E02591D" w:rsidP="6E02591D" w:rsidRDefault="6E02591D" w14:paraId="7D895F05" w14:textId="770657A3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</w:pPr>
    </w:p>
    <w:sectPr w:rsidR="00036A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FBC0CF"/>
    <w:rsid w:val="00036A42"/>
    <w:rsid w:val="001772D6"/>
    <w:rsid w:val="00961EAD"/>
    <w:rsid w:val="03356348"/>
    <w:rsid w:val="0408B6ED"/>
    <w:rsid w:val="05BB9345"/>
    <w:rsid w:val="07CD7002"/>
    <w:rsid w:val="08791123"/>
    <w:rsid w:val="0A4036D5"/>
    <w:rsid w:val="0A4E13C6"/>
    <w:rsid w:val="0C926033"/>
    <w:rsid w:val="0D56670C"/>
    <w:rsid w:val="0DE33C5E"/>
    <w:rsid w:val="0F06ACD9"/>
    <w:rsid w:val="1111396F"/>
    <w:rsid w:val="13A7F0CD"/>
    <w:rsid w:val="13AC53E3"/>
    <w:rsid w:val="1424550C"/>
    <w:rsid w:val="14B5C9AA"/>
    <w:rsid w:val="1A8F39ED"/>
    <w:rsid w:val="1AC90E7C"/>
    <w:rsid w:val="1B21F7E5"/>
    <w:rsid w:val="1B9A4E21"/>
    <w:rsid w:val="1D4BDBAF"/>
    <w:rsid w:val="1FC888AF"/>
    <w:rsid w:val="20CD41F8"/>
    <w:rsid w:val="20DEF682"/>
    <w:rsid w:val="20E0DB97"/>
    <w:rsid w:val="22900049"/>
    <w:rsid w:val="2315D033"/>
    <w:rsid w:val="2442E647"/>
    <w:rsid w:val="2446174B"/>
    <w:rsid w:val="258D737D"/>
    <w:rsid w:val="26127777"/>
    <w:rsid w:val="26988306"/>
    <w:rsid w:val="28DF45C9"/>
    <w:rsid w:val="29E3BD61"/>
    <w:rsid w:val="29FFC3CC"/>
    <w:rsid w:val="2DBEBD13"/>
    <w:rsid w:val="2DE083B8"/>
    <w:rsid w:val="2E452EE9"/>
    <w:rsid w:val="2F336F78"/>
    <w:rsid w:val="2F88AD8E"/>
    <w:rsid w:val="3137544F"/>
    <w:rsid w:val="31909E18"/>
    <w:rsid w:val="3282E58B"/>
    <w:rsid w:val="33DA6F22"/>
    <w:rsid w:val="34DA3772"/>
    <w:rsid w:val="350C2CDC"/>
    <w:rsid w:val="39223DAE"/>
    <w:rsid w:val="39C3F55B"/>
    <w:rsid w:val="3AB1EAF7"/>
    <w:rsid w:val="3AB904AC"/>
    <w:rsid w:val="3AE97D21"/>
    <w:rsid w:val="3BCBBAD5"/>
    <w:rsid w:val="3DE90AB2"/>
    <w:rsid w:val="3F7BFF00"/>
    <w:rsid w:val="3FB37AE2"/>
    <w:rsid w:val="40414853"/>
    <w:rsid w:val="41E1312B"/>
    <w:rsid w:val="44375B2F"/>
    <w:rsid w:val="44551470"/>
    <w:rsid w:val="46965337"/>
    <w:rsid w:val="490CFED0"/>
    <w:rsid w:val="492646E7"/>
    <w:rsid w:val="4BF45BCB"/>
    <w:rsid w:val="4DA8CF48"/>
    <w:rsid w:val="4E33AD67"/>
    <w:rsid w:val="4F2B2EC0"/>
    <w:rsid w:val="4F3FC694"/>
    <w:rsid w:val="504B136B"/>
    <w:rsid w:val="518CB395"/>
    <w:rsid w:val="51F6A081"/>
    <w:rsid w:val="524F4A0B"/>
    <w:rsid w:val="531F4C33"/>
    <w:rsid w:val="5336301C"/>
    <w:rsid w:val="542C106D"/>
    <w:rsid w:val="58A7259A"/>
    <w:rsid w:val="59B3BAA9"/>
    <w:rsid w:val="61735999"/>
    <w:rsid w:val="61EF01A1"/>
    <w:rsid w:val="633031FD"/>
    <w:rsid w:val="63699817"/>
    <w:rsid w:val="6BCC61FA"/>
    <w:rsid w:val="6CE36BE3"/>
    <w:rsid w:val="6DCBDCB0"/>
    <w:rsid w:val="6E02591D"/>
    <w:rsid w:val="6F16FF2E"/>
    <w:rsid w:val="70A85369"/>
    <w:rsid w:val="70D34477"/>
    <w:rsid w:val="72762C3B"/>
    <w:rsid w:val="731FBE08"/>
    <w:rsid w:val="7435944B"/>
    <w:rsid w:val="74DFF389"/>
    <w:rsid w:val="75F4C182"/>
    <w:rsid w:val="76014B92"/>
    <w:rsid w:val="77FBC0CF"/>
    <w:rsid w:val="782507A7"/>
    <w:rsid w:val="78F69D2E"/>
    <w:rsid w:val="79DECB38"/>
    <w:rsid w:val="7A394AAB"/>
    <w:rsid w:val="7A3F74F5"/>
    <w:rsid w:val="7BAB5412"/>
    <w:rsid w:val="7C256741"/>
    <w:rsid w:val="7C395E55"/>
    <w:rsid w:val="7E5E1E3A"/>
    <w:rsid w:val="7F286CEC"/>
    <w:rsid w:val="7F6DEBE2"/>
    <w:rsid w:val="7F7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C0CF"/>
  <w15:chartTrackingRefBased/>
  <w15:docId w15:val="{A842E328-CFDC-424F-9D5B-4421F8A8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Id139092909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3</revision>
  <dcterms:created xsi:type="dcterms:W3CDTF">2025-09-30T15:36:00.0000000Z</dcterms:created>
  <dcterms:modified xsi:type="dcterms:W3CDTF">2025-10-03T02:42:48.5018315Z</dcterms:modified>
</coreProperties>
</file>