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5E162949" w:rsidP="0784B063" w:rsidRDefault="5E162949" w14:paraId="78FB4BEF" w14:textId="164C8C6D">
      <w:pPr>
        <w:spacing w:after="2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53C1C571">
        <w:drawing>
          <wp:inline wp14:editId="09958285" wp14:anchorId="6CD7D8C3">
            <wp:extent cx="2971800" cy="990600"/>
            <wp:effectExtent l="0" t="0" r="0" b="0"/>
            <wp:docPr id="2112777768" name="drawing" descr="Pictur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12777768" name=""/>
                    <pic:cNvPicPr/>
                  </pic:nvPicPr>
                  <pic:blipFill>
                    <a:blip xmlns:r="http://schemas.openxmlformats.org/officeDocument/2006/relationships" r:embed="rId178379373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E162949" w:rsidP="33AD6B29" w:rsidRDefault="5E162949" w14:paraId="1D1CA490" w14:noSpellErr="1" w14:textId="050EE27D">
      <w:pPr>
        <w:spacing w:after="24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3"/>
          <w:szCs w:val="23"/>
          <w:lang w:val="en-US"/>
        </w:rPr>
      </w:pPr>
      <w:r w:rsidRPr="33AD6B29" w:rsidR="1046A9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3"/>
          <w:szCs w:val="23"/>
          <w:lang w:val="en-US"/>
        </w:rPr>
        <w:t>November 6,</w:t>
      </w:r>
      <w:r w:rsidRPr="33AD6B29" w:rsidR="4A1B05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3"/>
          <w:szCs w:val="23"/>
          <w:lang w:val="en-US"/>
        </w:rPr>
        <w:t xml:space="preserve"> 2025</w:t>
      </w:r>
    </w:p>
    <w:p w:rsidR="47AD0A4D" w:rsidP="33AD6B29" w:rsidRDefault="47AD0A4D" w14:paraId="5C048950" w14:textId="01F695B7">
      <w:pPr>
        <w:spacing w:after="240"/>
        <w:rPr>
          <w:rFonts w:ascii="Times New Roman" w:hAnsi="Times New Roman" w:eastAsia="Times New Roman" w:cs="Times New Roman"/>
          <w:b w:val="1"/>
          <w:bCs w:val="1"/>
          <w:noProof w:val="0"/>
          <w:color w:val="1B1C1D"/>
          <w:sz w:val="23"/>
          <w:szCs w:val="23"/>
          <w:lang w:val="es-ES"/>
        </w:rPr>
      </w:pP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color w:val="1B1C1D"/>
          <w:sz w:val="23"/>
          <w:szCs w:val="23"/>
          <w:lang w:val="es-ES"/>
        </w:rPr>
        <w:t>PRESS RELEASE</w:t>
      </w:r>
    </w:p>
    <w:p w:rsidR="47AD0A4D" w:rsidP="33AD6B29" w:rsidRDefault="47AD0A4D" w14:paraId="02C74F4E" w14:textId="7E176740">
      <w:pPr>
        <w:spacing w:after="240"/>
        <w:rPr>
          <w:rFonts w:ascii="Times New Roman" w:hAnsi="Times New Roman" w:eastAsia="Times New Roman" w:cs="Times New Roman"/>
          <w:b w:val="1"/>
          <w:bCs w:val="1"/>
          <w:noProof w:val="0"/>
          <w:color w:val="1B1C1D"/>
          <w:sz w:val="23"/>
          <w:szCs w:val="23"/>
          <w:lang w:val="es-ES"/>
        </w:rPr>
      </w:pP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color w:val="1B1C1D"/>
          <w:sz w:val="23"/>
          <w:szCs w:val="23"/>
          <w:lang w:val="es-ES"/>
        </w:rPr>
        <w:t>FOR IMMEDIATE RELEASE</w:t>
      </w:r>
    </w:p>
    <w:p w:rsidR="5E162949" w:rsidP="0784B063" w:rsidRDefault="5E162949" w14:paraId="61A437EC" w14:textId="553A38B2">
      <w:pPr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3"/>
          <w:szCs w:val="23"/>
          <w:lang w:val="en-US"/>
        </w:rPr>
      </w:pPr>
    </w:p>
    <w:p w:rsidR="5E162949" w:rsidP="33AD6B29" w:rsidRDefault="5E162949" w14:paraId="6608BFF1" w14:textId="3631E891">
      <w:pPr>
        <w:pStyle w:val="Normal"/>
        <w:keepNext w:val="1"/>
        <w:keepLines w:val="1"/>
        <w:spacing w:after="240"/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</w:pP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>Court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 xml:space="preserve"> 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>Orders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 xml:space="preserve"> DTOP 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>to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 xml:space="preserve"> Hand 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>Over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 xml:space="preserve"> 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>to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 xml:space="preserve"> ACLU 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>of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 xml:space="preserve"> Puerto Rico 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>the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 xml:space="preserve"> 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>Subpoena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 xml:space="preserve"> 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>Related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 xml:space="preserve"> 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>to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 xml:space="preserve"> 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>the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 xml:space="preserve"> Transfer 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>of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 xml:space="preserve"> 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>Immigrant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 xml:space="preserve"> Data 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>to</w:t>
      </w:r>
      <w:r w:rsidRPr="33AD6B29" w:rsidR="47AD0A4D">
        <w:rPr>
          <w:rFonts w:ascii="Times New Roman" w:hAnsi="Times New Roman" w:eastAsia="Times New Roman" w:cs="Times New Roman"/>
          <w:b w:val="1"/>
          <w:bCs w:val="1"/>
          <w:noProof w:val="0"/>
          <w:sz w:val="23"/>
          <w:szCs w:val="23"/>
          <w:lang w:val="es-ES"/>
        </w:rPr>
        <w:t xml:space="preserve"> ICE</w:t>
      </w:r>
    </w:p>
    <w:p w:rsidR="5E162949" w:rsidP="33AD6B29" w:rsidRDefault="5E162949" w14:paraId="4DDB98D9" w14:textId="73861B1C">
      <w:pPr>
        <w:pStyle w:val="Normal"/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3"/>
          <w:szCs w:val="23"/>
          <w:lang w:val="en-US"/>
        </w:rPr>
      </w:pPr>
      <w:r w:rsidRPr="33AD6B29" w:rsidR="47AD0A4D">
        <w:rPr>
          <w:rFonts w:ascii="Times New Roman" w:hAnsi="Times New Roman" w:eastAsia="Times New Roman" w:cs="Times New Roman"/>
          <w:i w:val="1"/>
          <w:iCs w:val="1"/>
          <w:noProof w:val="0"/>
          <w:color w:val="1B1C1D"/>
          <w:sz w:val="23"/>
          <w:szCs w:val="23"/>
          <w:lang w:val="es-ES"/>
        </w:rPr>
        <w:t>The organization argued that the alleged subpoena received by the agency is not protected by confidentiality and that there is a public interest in knowing precisely what information was requested and shared, as well as the process that led to the transfer.</w:t>
      </w:r>
      <w:r w:rsidRPr="33AD6B29" w:rsidR="4A1B056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B1C1D"/>
          <w:sz w:val="23"/>
          <w:szCs w:val="23"/>
          <w:lang w:val="es-ES"/>
        </w:rPr>
        <w:t xml:space="preserve"> </w:t>
      </w:r>
    </w:p>
    <w:p w:rsidR="4A1B0565" w:rsidP="33AD6B29" w:rsidRDefault="4A1B0565" w14:noSpellErr="1" w14:paraId="2767ACBF" w14:textId="3F6AA017">
      <w:pPr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3"/>
          <w:szCs w:val="23"/>
          <w:lang w:val="es-ES"/>
        </w:rPr>
      </w:pPr>
      <w:r w:rsidRPr="33AD6B29" w:rsidR="4A1B056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B1C1D"/>
          <w:sz w:val="23"/>
          <w:szCs w:val="23"/>
          <w:lang w:val="es-ES"/>
        </w:rPr>
        <w:t>San Juan, P.R. –</w:t>
      </w:r>
      <w:r w:rsidRPr="33AD6B29" w:rsidR="4A1B05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Department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Transportation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and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Public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Works (DTOP)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must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hand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over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to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American Civil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Liberties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Union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(ACLU)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Puerto Rico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alleged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subpoena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issued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by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a federal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agency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,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along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with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other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data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related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to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transfer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information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thousands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immigrants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,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Court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First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Instance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(CFI) in San Juan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ordered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Thursday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.</w:t>
      </w:r>
    </w:p>
    <w:p w:rsidR="33AD6B29" w:rsidP="33AD6B29" w:rsidRDefault="33AD6B29" w14:paraId="719E9060" w14:textId="28BA79F5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</w:pPr>
    </w:p>
    <w:p w:rsidR="17F4F290" w:rsidP="33AD6B29" w:rsidRDefault="17F4F290" w14:paraId="35D37299" w14:textId="6A83FF00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</w:pP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“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With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this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victory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,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ACLU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Puerto Rico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reaffirms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its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commitment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to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protection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and defense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human and civil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rights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all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people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living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in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our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archipelago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. Access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to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information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is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essential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and fundamental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to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a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healthy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democracy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, and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principle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maximum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disclosure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must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permeate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all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government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actions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,”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said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Annette Martínez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Orabona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, Executive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Director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ACLU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Puerto Rico.</w:t>
      </w:r>
    </w:p>
    <w:p w:rsidR="33AD6B29" w:rsidP="33AD6B29" w:rsidRDefault="33AD6B29" w14:paraId="570F4FD3" w14:textId="294DA449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</w:pPr>
    </w:p>
    <w:p w:rsidR="17F4F290" w:rsidP="33AD6B29" w:rsidRDefault="17F4F290" w14:paraId="1B0BD764" w14:textId="0FA82926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</w:pP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In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early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October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,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organization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filed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a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1B1C1D"/>
          <w:sz w:val="23"/>
          <w:szCs w:val="23"/>
          <w:lang w:val="es-ES"/>
        </w:rPr>
        <w:t>writ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1B1C1D"/>
          <w:sz w:val="23"/>
          <w:szCs w:val="23"/>
          <w:lang w:val="es-ES"/>
        </w:rPr>
        <w:t>mandamus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before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CFI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against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DTOP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Secretary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Edwin González Montalvo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and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Commonwealth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Puerto Rico,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demanding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that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government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immediately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hand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over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documents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related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to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transfer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confidential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information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on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nearly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6,000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immigrants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who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obtained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driver’s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licenses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under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Act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No. 97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2013.</w:t>
      </w:r>
    </w:p>
    <w:p w:rsidR="33AD6B29" w:rsidP="33AD6B29" w:rsidRDefault="33AD6B29" w14:paraId="79DEEAA6" w14:textId="0DCA66E6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</w:pPr>
    </w:p>
    <w:p w:rsidR="17F4F290" w:rsidP="33AD6B29" w:rsidRDefault="17F4F290" w14:paraId="5B4BB3E1" w14:textId="3BC5122A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</w:pP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“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public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has a fundamental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right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to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know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under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what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circumstances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and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assumptions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information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that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put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thousands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lives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at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risk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was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handed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over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, and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how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this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data transfer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occurred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—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violating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legislative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intent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Act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97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2013,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which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requires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confidentiality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that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information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,”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emphasized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Fermín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Arraiza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Navas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, Legal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Director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ACLU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Puerto Rico,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who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argued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case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on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behalf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organization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.</w:t>
      </w:r>
    </w:p>
    <w:p w:rsidR="17F4F290" w:rsidP="33AD6B29" w:rsidRDefault="17F4F290" w14:paraId="5A7F36E3" w14:textId="032B38F0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</w:pP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DTOP,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represented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by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Department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Justice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,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sought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to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defend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in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court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a “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compelling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interest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” in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protecting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alleged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subpoena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concerning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immigrant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data as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confidential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,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arguing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that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request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was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part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a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supposed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investigation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that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could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benefit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state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in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terms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public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safety.</w:t>
      </w:r>
    </w:p>
    <w:p w:rsidR="33AD6B29" w:rsidP="33AD6B29" w:rsidRDefault="33AD6B29" w14:paraId="5BE797E7" w14:textId="5827869A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</w:pPr>
    </w:p>
    <w:p w:rsidR="17F4F290" w:rsidP="33AD6B29" w:rsidRDefault="17F4F290" w14:paraId="63138B53" w14:textId="44A6D37A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</w:pP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government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also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defended a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public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policy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cooperation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with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federal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immigration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enforcement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agencies.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However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,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failed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to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demonstrate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that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document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was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confidential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or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to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cite legal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precedents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that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would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justify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denying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public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access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to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information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.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Nor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could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provide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concrete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facts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to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support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alleged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compelling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interest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.</w:t>
      </w:r>
    </w:p>
    <w:p w:rsidR="33AD6B29" w:rsidP="33AD6B29" w:rsidRDefault="33AD6B29" w14:paraId="6044DFB7" w14:textId="0C0FBA95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</w:pPr>
    </w:p>
    <w:p w:rsidR="17F4F290" w:rsidP="33AD6B29" w:rsidRDefault="17F4F290" w14:paraId="65614D67" w14:textId="7DDB684F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</w:pP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“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decision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in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this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case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acknowledges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that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public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has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inalienable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right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to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know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,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openly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and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honestly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,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how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decisions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that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affect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us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all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are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made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—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decisions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that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can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have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serious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consequences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,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such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as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arrests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immigrants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in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violation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constitutional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protections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that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we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have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already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witnessed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,”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said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Arraiza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Navas.</w:t>
      </w:r>
    </w:p>
    <w:p w:rsidR="33AD6B29" w:rsidP="33AD6B29" w:rsidRDefault="33AD6B29" w14:paraId="105334BA" w14:textId="166CA0D7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</w:pPr>
    </w:p>
    <w:p w:rsidR="17F4F290" w:rsidP="33AD6B29" w:rsidRDefault="17F4F290" w14:paraId="39619914" w14:textId="6A6FAE7A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</w:pP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ACLU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Puerto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Rico’s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action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followed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DTOP’s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refusal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to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provide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copies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information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requests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issued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by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Department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Homeland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Security (DHS) and agencies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such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as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Immigration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and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Customs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Enforcement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(ICE), as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well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as legal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analyses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and data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delivered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in response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to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those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requests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.</w:t>
      </w:r>
    </w:p>
    <w:p w:rsidR="33AD6B29" w:rsidP="33AD6B29" w:rsidRDefault="33AD6B29" w14:paraId="0BC51970" w14:textId="18EBC745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</w:pPr>
    </w:p>
    <w:p w:rsidR="17F4F290" w:rsidP="33AD6B29" w:rsidRDefault="17F4F290" w14:paraId="441A88B2" w14:textId="1840739D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</w:pP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agency’s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response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relied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generalities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and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failed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to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legally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justify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its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claim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confidentiality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—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constituting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a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breach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ministerial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duty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and a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flagrant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violation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constitutional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right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access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to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public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information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in Puerto Rico.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During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Thursday’s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hearing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in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courtroom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904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San Juan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court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,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agency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again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failed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to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substantiate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its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confidentiality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claim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.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Judge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s-ES"/>
        </w:rPr>
        <w:t>Anthony Cuevas Ramos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ordered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DTOP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to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deliver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information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within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five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days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.</w:t>
      </w:r>
    </w:p>
    <w:p w:rsidR="33AD6B29" w:rsidP="33AD6B29" w:rsidRDefault="33AD6B29" w14:paraId="52826753" w14:textId="0FCDACF3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</w:pPr>
    </w:p>
    <w:p w:rsidR="17F4F290" w:rsidP="33AD6B29" w:rsidRDefault="17F4F290" w14:paraId="573FBF60" w14:textId="4CF591EA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</w:pP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lawsuit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based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public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reports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that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between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February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and March 2025, DTOP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turned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over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personal data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approximately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6,000 drivers—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immigrants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who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obtained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this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type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license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—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to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federal agencies.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U.S.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government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later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confirmed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that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this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data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was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used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to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identify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, locate,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arrest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, and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deport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immigrants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.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Most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these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arrests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occur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without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a warrant and in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violation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constitutional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and human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rights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protections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that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apply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to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all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people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,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including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immigrants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.</w:t>
      </w:r>
    </w:p>
    <w:p w:rsidR="33AD6B29" w:rsidP="33AD6B29" w:rsidRDefault="33AD6B29" w14:paraId="0AD9766D" w14:textId="29F9DFC9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</w:pPr>
    </w:p>
    <w:p w:rsidR="17F4F290" w:rsidP="33AD6B29" w:rsidRDefault="17F4F290" w14:paraId="7752F424" w14:textId="2AFF5E48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b w:val="0"/>
          <w:bCs w:val="0"/>
          <w:noProof w:val="0"/>
          <w:color w:val="1B1C1D"/>
          <w:sz w:val="23"/>
          <w:szCs w:val="23"/>
          <w:lang w:val="en-US"/>
        </w:rPr>
      </w:pP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Government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Puerto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Rico’s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actions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directly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contravened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Act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97-2013,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which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requires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the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DTOP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Secretary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to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establish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mechanisms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to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ensure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that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this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registry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would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not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be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used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for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immigration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enforcement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purposes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or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discrimination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.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From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January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to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October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of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this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year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alone, ICE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had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arrested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at 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>least</w:t>
      </w: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n-US"/>
        </w:rPr>
        <w:t xml:space="preserve"> 1,236 immigrants in Puerto Rico.</w:t>
      </w:r>
    </w:p>
    <w:p w:rsidR="33AD6B29" w:rsidP="33AD6B29" w:rsidRDefault="33AD6B29" w14:paraId="65199F66" w14:textId="6F41B0D4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</w:pPr>
    </w:p>
    <w:p w:rsidR="17F4F290" w:rsidP="33AD6B29" w:rsidRDefault="17F4F290" w14:paraId="490A36A0" w14:textId="61166FA2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b w:val="1"/>
          <w:bCs w:val="1"/>
          <w:noProof w:val="0"/>
          <w:color w:val="1B1C1D"/>
          <w:sz w:val="23"/>
          <w:szCs w:val="23"/>
          <w:lang w:val="es-ES"/>
        </w:rPr>
      </w:pPr>
      <w:r w:rsidRPr="33AD6B29" w:rsidR="17F4F290">
        <w:rPr>
          <w:rFonts w:ascii="Times New Roman" w:hAnsi="Times New Roman" w:eastAsia="Times New Roman" w:cs="Times New Roman"/>
          <w:b w:val="1"/>
          <w:bCs w:val="1"/>
          <w:noProof w:val="0"/>
          <w:color w:val="1B1C1D"/>
          <w:sz w:val="23"/>
          <w:szCs w:val="23"/>
          <w:lang w:val="es-ES"/>
        </w:rPr>
        <w:t>Contact:</w:t>
      </w:r>
    </w:p>
    <w:p w:rsidR="17F4F290" w:rsidP="33AD6B29" w:rsidRDefault="17F4F290" w14:paraId="4ADAA296" w14:textId="04F9BC40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</w:pP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David Cordero Mercado</w:t>
      </w:r>
    </w:p>
    <w:p w:rsidR="17F4F290" w:rsidP="33AD6B29" w:rsidRDefault="17F4F290" w14:paraId="6C855BDB" w14:textId="0864C879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</w:pP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Communications Director – ACLU of Puerto Rico</w:t>
      </w:r>
    </w:p>
    <w:p w:rsidR="17F4F290" w:rsidP="33AD6B29" w:rsidRDefault="17F4F290" w14:paraId="6EA61112" w14:textId="705923E0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</w:pPr>
      <w:r w:rsidRPr="33AD6B29" w:rsidR="17F4F290">
        <w:rPr>
          <w:rFonts w:ascii="Times New Roman" w:hAnsi="Times New Roman" w:eastAsia="Times New Roman" w:cs="Times New Roman"/>
          <w:noProof w:val="0"/>
          <w:color w:val="1B1C1D"/>
          <w:sz w:val="23"/>
          <w:szCs w:val="23"/>
          <w:lang w:val="es-ES"/>
        </w:rPr>
        <w:t>(787) 247-9057</w:t>
      </w:r>
    </w:p>
    <w:p w:rsidR="33AD6B29" w:rsidP="33AD6B29" w:rsidRDefault="33AD6B29" w14:paraId="1C9F5922" w14:textId="3E6A7FED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3"/>
          <w:szCs w:val="23"/>
          <w:lang w:val="es-ES"/>
        </w:rPr>
      </w:pPr>
    </w:p>
    <w:p w:rsidR="5E162949" w:rsidP="0784B063" w:rsidRDefault="5E162949" w14:paraId="4F60CCDA" w14:textId="00FDBE9B">
      <w:pPr>
        <w:shd w:val="clear" w:color="auto" w:fill="FFFFFF" w:themeFill="background1"/>
        <w:spacing w:after="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B1C1D"/>
          <w:sz w:val="23"/>
          <w:szCs w:val="23"/>
          <w:lang w:val="es-ES"/>
        </w:rPr>
      </w:pPr>
    </w:p>
    <w:sectPr w:rsidR="00595D7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lgUqZdfZ" int2:invalidationBookmarkName="" int2:hashCode="FLy0Lzxy3efOIH" int2:id="1sI4vJLn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3254DA"/>
    <w:rsid w:val="0013FADF"/>
    <w:rsid w:val="00595D7E"/>
    <w:rsid w:val="009D077B"/>
    <w:rsid w:val="00BB9BF8"/>
    <w:rsid w:val="010E4AA3"/>
    <w:rsid w:val="033817CD"/>
    <w:rsid w:val="04503230"/>
    <w:rsid w:val="04A64689"/>
    <w:rsid w:val="05C571C8"/>
    <w:rsid w:val="0644F75A"/>
    <w:rsid w:val="071F148B"/>
    <w:rsid w:val="0784B063"/>
    <w:rsid w:val="0870D2C7"/>
    <w:rsid w:val="08DD1933"/>
    <w:rsid w:val="0942EE97"/>
    <w:rsid w:val="0A24BDDE"/>
    <w:rsid w:val="0A9601E7"/>
    <w:rsid w:val="0AC7F54D"/>
    <w:rsid w:val="0AD3005E"/>
    <w:rsid w:val="0AFF3DB5"/>
    <w:rsid w:val="0B34AD20"/>
    <w:rsid w:val="0B399C7D"/>
    <w:rsid w:val="0B9B1FA4"/>
    <w:rsid w:val="0CFC23CD"/>
    <w:rsid w:val="0D709EDF"/>
    <w:rsid w:val="0DE5FD6F"/>
    <w:rsid w:val="0E793800"/>
    <w:rsid w:val="0E998776"/>
    <w:rsid w:val="0F18B556"/>
    <w:rsid w:val="0FA1CD6E"/>
    <w:rsid w:val="1046A97E"/>
    <w:rsid w:val="10E50B8C"/>
    <w:rsid w:val="11C4252D"/>
    <w:rsid w:val="1325D657"/>
    <w:rsid w:val="1458FF93"/>
    <w:rsid w:val="1477E216"/>
    <w:rsid w:val="147DF2F5"/>
    <w:rsid w:val="14FD69A5"/>
    <w:rsid w:val="15325A74"/>
    <w:rsid w:val="15939972"/>
    <w:rsid w:val="15C2A2E0"/>
    <w:rsid w:val="16C2C912"/>
    <w:rsid w:val="16C3DEDE"/>
    <w:rsid w:val="17EAF99B"/>
    <w:rsid w:val="17F4F290"/>
    <w:rsid w:val="1801BC3B"/>
    <w:rsid w:val="181BE008"/>
    <w:rsid w:val="18D75F6E"/>
    <w:rsid w:val="1951A102"/>
    <w:rsid w:val="1A5CDA9E"/>
    <w:rsid w:val="1A9D4821"/>
    <w:rsid w:val="1B13AE2C"/>
    <w:rsid w:val="1B209E58"/>
    <w:rsid w:val="1B7AA3CA"/>
    <w:rsid w:val="1B98F504"/>
    <w:rsid w:val="1C472AB2"/>
    <w:rsid w:val="1CB1041C"/>
    <w:rsid w:val="1EB67897"/>
    <w:rsid w:val="1F4C8987"/>
    <w:rsid w:val="1F933919"/>
    <w:rsid w:val="1FCC0304"/>
    <w:rsid w:val="20D04BF1"/>
    <w:rsid w:val="22248BEE"/>
    <w:rsid w:val="22A846D5"/>
    <w:rsid w:val="236B474C"/>
    <w:rsid w:val="25393E62"/>
    <w:rsid w:val="254E9960"/>
    <w:rsid w:val="25DFBF09"/>
    <w:rsid w:val="2719E780"/>
    <w:rsid w:val="275494AF"/>
    <w:rsid w:val="284A9740"/>
    <w:rsid w:val="287CFB8E"/>
    <w:rsid w:val="28994DA0"/>
    <w:rsid w:val="2911BE75"/>
    <w:rsid w:val="29FB68DE"/>
    <w:rsid w:val="2A07E4E0"/>
    <w:rsid w:val="2ABD1E33"/>
    <w:rsid w:val="2BD18A85"/>
    <w:rsid w:val="2C33A3DE"/>
    <w:rsid w:val="2C400D10"/>
    <w:rsid w:val="2D35D2C3"/>
    <w:rsid w:val="2D7571C9"/>
    <w:rsid w:val="2E67E244"/>
    <w:rsid w:val="2F3254DA"/>
    <w:rsid w:val="30A0FC6B"/>
    <w:rsid w:val="30DFA70B"/>
    <w:rsid w:val="316C35DF"/>
    <w:rsid w:val="32234F1E"/>
    <w:rsid w:val="32A69672"/>
    <w:rsid w:val="32D83932"/>
    <w:rsid w:val="335A43A6"/>
    <w:rsid w:val="33AD6B29"/>
    <w:rsid w:val="351649E4"/>
    <w:rsid w:val="35959BEA"/>
    <w:rsid w:val="35F27FF1"/>
    <w:rsid w:val="36C4392D"/>
    <w:rsid w:val="3728EC79"/>
    <w:rsid w:val="375C7204"/>
    <w:rsid w:val="3890D5D0"/>
    <w:rsid w:val="3915F7AB"/>
    <w:rsid w:val="3A7E513A"/>
    <w:rsid w:val="3AC22F88"/>
    <w:rsid w:val="3B03606A"/>
    <w:rsid w:val="3C8F1B45"/>
    <w:rsid w:val="3D3456CB"/>
    <w:rsid w:val="3E047A4E"/>
    <w:rsid w:val="3EAB674E"/>
    <w:rsid w:val="3F694C3F"/>
    <w:rsid w:val="3FB6FA3D"/>
    <w:rsid w:val="3FEEA36D"/>
    <w:rsid w:val="40456EFD"/>
    <w:rsid w:val="40DD8A70"/>
    <w:rsid w:val="41839DBD"/>
    <w:rsid w:val="419977E9"/>
    <w:rsid w:val="43C5CC8C"/>
    <w:rsid w:val="4489C741"/>
    <w:rsid w:val="449EFD0B"/>
    <w:rsid w:val="46D26E6F"/>
    <w:rsid w:val="4768E709"/>
    <w:rsid w:val="47AD0A4D"/>
    <w:rsid w:val="4824ED8E"/>
    <w:rsid w:val="498AF24D"/>
    <w:rsid w:val="4991B025"/>
    <w:rsid w:val="49AD328C"/>
    <w:rsid w:val="49D05076"/>
    <w:rsid w:val="4A1B0565"/>
    <w:rsid w:val="4A3E4078"/>
    <w:rsid w:val="4A8DD4C6"/>
    <w:rsid w:val="4ABAE028"/>
    <w:rsid w:val="4B4C2500"/>
    <w:rsid w:val="4B6BAA58"/>
    <w:rsid w:val="4BEAD3A5"/>
    <w:rsid w:val="4C4A582D"/>
    <w:rsid w:val="4C6819E6"/>
    <w:rsid w:val="4C79FBA1"/>
    <w:rsid w:val="4D4C98E2"/>
    <w:rsid w:val="4FB940EB"/>
    <w:rsid w:val="4FC42068"/>
    <w:rsid w:val="4FE7470C"/>
    <w:rsid w:val="4FF3DC8F"/>
    <w:rsid w:val="503FABFF"/>
    <w:rsid w:val="52263624"/>
    <w:rsid w:val="522C7C0F"/>
    <w:rsid w:val="530B0159"/>
    <w:rsid w:val="53B0B872"/>
    <w:rsid w:val="53C1C571"/>
    <w:rsid w:val="54625845"/>
    <w:rsid w:val="54707A03"/>
    <w:rsid w:val="55042233"/>
    <w:rsid w:val="554F4276"/>
    <w:rsid w:val="561DD2B9"/>
    <w:rsid w:val="56250DC1"/>
    <w:rsid w:val="58D28E12"/>
    <w:rsid w:val="5C1E7E17"/>
    <w:rsid w:val="5C34C105"/>
    <w:rsid w:val="5D30EDD2"/>
    <w:rsid w:val="5E162949"/>
    <w:rsid w:val="5E5197A2"/>
    <w:rsid w:val="5E81C563"/>
    <w:rsid w:val="5F1E62FF"/>
    <w:rsid w:val="5F49E7F6"/>
    <w:rsid w:val="606BF701"/>
    <w:rsid w:val="608325B6"/>
    <w:rsid w:val="60CC10C3"/>
    <w:rsid w:val="612FA3F2"/>
    <w:rsid w:val="617D2B8D"/>
    <w:rsid w:val="61E4900A"/>
    <w:rsid w:val="63703633"/>
    <w:rsid w:val="63DA1B66"/>
    <w:rsid w:val="64B63968"/>
    <w:rsid w:val="6562F4ED"/>
    <w:rsid w:val="666A89E5"/>
    <w:rsid w:val="66741076"/>
    <w:rsid w:val="66979CB4"/>
    <w:rsid w:val="66E1EC94"/>
    <w:rsid w:val="672019E0"/>
    <w:rsid w:val="676313DE"/>
    <w:rsid w:val="6827324A"/>
    <w:rsid w:val="68BF3EA3"/>
    <w:rsid w:val="69881EF8"/>
    <w:rsid w:val="6A2A1228"/>
    <w:rsid w:val="6C1C96B0"/>
    <w:rsid w:val="6CD82037"/>
    <w:rsid w:val="6DE2FE51"/>
    <w:rsid w:val="6EF28857"/>
    <w:rsid w:val="70567543"/>
    <w:rsid w:val="71FC34A7"/>
    <w:rsid w:val="73423770"/>
    <w:rsid w:val="74695A2E"/>
    <w:rsid w:val="766B5922"/>
    <w:rsid w:val="76E435A9"/>
    <w:rsid w:val="7711F7C8"/>
    <w:rsid w:val="790DD613"/>
    <w:rsid w:val="79B6AA72"/>
    <w:rsid w:val="7B1A2510"/>
    <w:rsid w:val="7BD53D37"/>
    <w:rsid w:val="7D7CBAE2"/>
    <w:rsid w:val="7F1C785F"/>
    <w:rsid w:val="7F4D8A57"/>
    <w:rsid w:val="7F8A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254DA"/>
  <w15:chartTrackingRefBased/>
  <w15:docId w15:val="{5589D036-A455-4833-8A9B-2F773FB6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215805aee1374f1b" /><Relationship Type="http://schemas.openxmlformats.org/officeDocument/2006/relationships/image" Target="/media/image.png" Id="rId178379373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53fc8b8-d7b6-4a49-82ba-35cdad86f4bf}" enabled="1" method="Standard" siteId="{735676e9-2494-4a0f-bf31-4bdea1e9198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Cordero</dc:creator>
  <keywords/>
  <dc:description/>
  <lastModifiedBy>David Cordero</lastModifiedBy>
  <revision>4</revision>
  <dcterms:created xsi:type="dcterms:W3CDTF">2025-11-06T14:54:00.0000000Z</dcterms:created>
  <dcterms:modified xsi:type="dcterms:W3CDTF">2025-11-06T19:57:32.9426442Z</dcterms:modified>
</coreProperties>
</file>