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AD605D" w:rsidP="073339EA" w:rsidRDefault="47AD605D" w14:paraId="6E71220E" w14:textId="54473404">
      <w:pPr>
        <w:pStyle w:val="Normal"/>
        <w:jc w:val="right"/>
        <w:rPr>
          <w:rFonts w:ascii="Aptos" w:hAnsi="Aptos"/>
          <w:b w:val="1"/>
          <w:bCs w:val="1"/>
          <w:noProof w:val="0"/>
          <w:sz w:val="24"/>
          <w:szCs w:val="24"/>
          <w:lang w:val="es-ES"/>
        </w:rPr>
      </w:pPr>
      <w:r w:rsidRPr="073339EA" w:rsidR="47AD605D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9 de octubre de 2025</w:t>
      </w:r>
    </w:p>
    <w:p w:rsidR="47AD605D" w:rsidP="073339EA" w:rsidRDefault="47AD605D" w14:paraId="702AA45C" w14:textId="7664B4D9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s-ES"/>
        </w:rPr>
      </w:pPr>
      <w:r w:rsidRPr="073339EA" w:rsidR="47AD605D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COMUNICADO DE PRENSA</w:t>
      </w:r>
    </w:p>
    <w:p w:rsidR="47AD605D" w:rsidP="073339EA" w:rsidRDefault="47AD605D" w14:paraId="686A3009" w14:textId="1987A140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s-ES"/>
        </w:rPr>
      </w:pPr>
      <w:r w:rsidRPr="073339EA" w:rsidR="47AD605D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PARA PUBLICACIÓN INMEDIATA </w:t>
      </w:r>
    </w:p>
    <w:p w:rsidR="002D7912" w:rsidP="2C28DC0B" w:rsidRDefault="002D7912" w14:paraId="0D8A9103" w14:textId="3DF6203A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s-ES"/>
        </w:rPr>
      </w:pP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Personas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trans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solicitan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a la Corte Suprema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rechazar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el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intento de la administración Trump de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aplicar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política de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pasaportes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discriminatoria</w:t>
      </w:r>
    </w:p>
    <w:p w:rsidR="002D7912" w:rsidP="2C28DC0B" w:rsidRDefault="002D7912" w14:paraId="03B7F285" w14:textId="276B6CD2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4337B58C" w:rsidR="35B3860E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B</w:t>
      </w:r>
      <w:r w:rsidRPr="4337B58C" w:rsidR="30A28A8E">
        <w:rPr>
          <w:rFonts w:ascii="Aptos" w:hAnsi="Aptos"/>
          <w:b w:val="1"/>
          <w:bCs w:val="1"/>
          <w:noProof w:val="0"/>
          <w:sz w:val="24"/>
          <w:szCs w:val="24"/>
          <w:lang w:val="es-ES"/>
        </w:rPr>
        <w:t>oston, MA</w:t>
      </w:r>
      <w:r w:rsidRPr="4337B58C" w:rsidR="35B3860E">
        <w:rPr>
          <w:rFonts w:ascii="Aptos" w:hAnsi="Aptos"/>
          <w:noProof w:val="0"/>
          <w:sz w:val="24"/>
          <w:szCs w:val="24"/>
          <w:lang w:val="es-ES"/>
        </w:rPr>
        <w:t xml:space="preserve"> –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Abogados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representan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ciudadanos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estadounidenses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no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binarios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intersexuales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solicitaron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la Corte Suprema </w:t>
      </w:r>
      <w:r w:rsidRPr="4337B58C" w:rsidR="1588E91A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el lunes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rechace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petición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para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suspender un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interdicto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preliminar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caso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>Orr</w:t>
      </w:r>
      <w:r w:rsidRPr="4337B58C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4337B58C" w:rsidR="1984FADD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>v.</w:t>
      </w:r>
      <w:r w:rsidRPr="4337B58C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 xml:space="preserve"> Trump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impugna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la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administración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Trump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exige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solo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lleven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asignada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la persona al 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nacer</w:t>
      </w:r>
      <w:r w:rsidRPr="4337B58C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47733E0D" w14:textId="6E52D0AC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“Los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tribunales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inferiores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han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dejado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abundantemente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claro lo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discriminatoria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infundada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es la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nueva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del Departamento de Estado y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daño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representa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para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cientos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miles de personas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como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nuestros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clientes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”,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565F9538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sostuvo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Li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Nowlin-Sohl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073339EA" w:rsidR="75F2A6B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bogada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del Proyecto LGBTQ y </w:t>
      </w:r>
      <w:r w:rsidRPr="073339EA" w:rsidR="52A21765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de 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VIH de la ACLU. </w:t>
      </w:r>
    </w:p>
    <w:p w:rsidR="002D7912" w:rsidP="2C28DC0B" w:rsidRDefault="002D7912" w14:paraId="4109F42F" w14:textId="7C2EF998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“Las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todo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país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dependen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documentos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identidad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reflejen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precisión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identidad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: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quiénes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sus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lugares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trabajo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sus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escuelas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y sus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comunidades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intentos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administración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negar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ese derecho a las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intersexuales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tienen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base legal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y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continuaremos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luchando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contra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esta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hasta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derrotada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permanentemente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”</w:t>
      </w:r>
      <w:r w:rsidRPr="2C28DC0B" w:rsidR="277276F0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subrayó. </w:t>
      </w:r>
    </w:p>
    <w:p w:rsidR="002D7912" w:rsidP="2C28DC0B" w:rsidRDefault="002D7912" w14:paraId="485FD358" w14:textId="61AA5463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El primer día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cargo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2025, Trump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firmó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orden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ejecutiva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intentaba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ordenar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discriminación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contra las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todo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gobierno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federal y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programas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gubernamentales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Esto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incluyó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directiva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Departamentos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Estado y de Seguridad Nacional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"para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requerir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documentos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identificación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emitidos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gobierno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incluidos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visas y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tarjetas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Global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Entry</w:t>
      </w:r>
      <w:r w:rsidRPr="2C28DC0B" w:rsidR="618FEEF2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"</w:t>
      </w:r>
      <w:r w:rsidRPr="2C28DC0B" w:rsidR="618FEEF2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reflejen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persona "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concepción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"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56FEE77D" w14:textId="2E325A51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En 48 horas,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Departamento de Estado puso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pausa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procesamiento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algunas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solicitudes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presentadas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intersexuales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y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y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devolvió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otras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recién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emitido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marcado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asignado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nacer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La ACLU y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Advocates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Transgender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Equality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recopilaron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más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214,000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comentarios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públicos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oposición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nueva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del Departamento de Estado.</w:t>
      </w:r>
    </w:p>
    <w:p w:rsidR="002D7912" w:rsidP="2C28DC0B" w:rsidRDefault="002D7912" w14:paraId="09F1CC7F" w14:textId="74F0592B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febrero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2025, </w:t>
      </w:r>
      <w:r w:rsidRPr="2C28DC0B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>Orr</w:t>
      </w:r>
      <w:r w:rsidRPr="2C28DC0B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 xml:space="preserve"> contra Trump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presentado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Unión Americana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Libertades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Civiles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(ACLU), la ACLU de Massachusetts y Covington and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Burling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LLP,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nombre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siete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habían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podido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obtener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coincidieran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quiénes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debido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nueva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Política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del Departamento de Estado,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probablemente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verían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afectadas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nueva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próxima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renovación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</w:t>
      </w:r>
    </w:p>
    <w:p w:rsidR="002D7912" w:rsidP="2C28DC0B" w:rsidRDefault="002D7912" w14:paraId="32304B77" w14:textId="68CD35F4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demanda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presentada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Tribunal de Distrito Federal para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Distrito de Massachusetts.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Posteriormente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demanda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modificada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para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añadir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cinco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demandantes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intersexuales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adicionales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y para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buscar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representar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clase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titulares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intersexuales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Los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doce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demandantes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individuales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fueron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nombrados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representantes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clase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1238F8EF" w14:textId="3284E5D4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abril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tribunal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concedió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interdicto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preliminar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exigía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al Departamento de Estado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permitir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seis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demandantes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transgénero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y no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binarios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i w:val="1"/>
          <w:iCs w:val="1"/>
          <w:noProof w:val="0"/>
          <w:sz w:val="24"/>
          <w:szCs w:val="24"/>
          <w:lang w:val="es-ES"/>
        </w:rPr>
        <w:t>Orr contra Trump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obtuvieran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designaciones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consistentes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identidad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"X"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mientras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litigio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continúa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. En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junio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tribunal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concedió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solicitud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certificación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clase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ampliando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interdicto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preliminar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para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cubrir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todas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las personas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están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serán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afectadas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futuro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00B35905" w14:textId="462C16D9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Después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Tribunal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Apelaciones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del Primer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Circuito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confirmara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ese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interdicto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administración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Trump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presentó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solicitud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suspensión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ante la Corte Suprema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Estados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Unidos.</w:t>
      </w:r>
    </w:p>
    <w:p w:rsidR="002D7912" w:rsidP="2C28DC0B" w:rsidRDefault="002D7912" w14:paraId="47886C93" w14:textId="1CEA2FF9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61D6F1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"El intento de la administración Trump de negar pasaportes precisos a cientos de miles de estadounidenses causaría un daño inmediato e irreparable si se permitiera que entrara en vigor", planteó Jessie </w:t>
      </w:r>
      <w:r w:rsidRPr="2C28DC0B" w:rsidR="61D6F1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Rossman</w:t>
      </w:r>
      <w:r w:rsidRPr="2C28DC0B" w:rsidR="61D6F1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directora legal de la ACLU de Massachusetts. </w:t>
      </w:r>
    </w:p>
    <w:p w:rsidR="002D7912" w:rsidP="2C28DC0B" w:rsidRDefault="002D7912" w14:paraId="3D6BE530" w14:textId="494CBE68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61D6F1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"Las personas transgénero, no binarias e intersexuales en Estados Unidos dependen de documentos de identidad precisos para viajar con seguridad, privacidad y dignidad. Estamos pidiendo a la Corte Suprema que rechace esta solicitud de suspensión y que mantenga el interdicto emitido para que nuestros clientes se libren de una profunda interrupción y angustia mientras su caso continúa</w:t>
      </w:r>
      <w:r w:rsidRPr="2C28DC0B" w:rsidR="117EE672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", explicó. </w:t>
      </w:r>
    </w:p>
    <w:p w:rsidR="002D7912" w:rsidP="073339EA" w:rsidRDefault="002D7912" w14:paraId="7BBACAB0" w14:textId="2705833D">
      <w:pPr>
        <w:pStyle w:val="Normal"/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073339EA" w:rsidR="3DDD5C92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La ACLU de Puerto Rico se mantiene atenta a este caso y reitera su compromiso con la def</w:t>
      </w:r>
      <w:r w:rsidRPr="073339EA" w:rsidR="5A88AC1A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ensa de los derechos humanos y constitucionales de la</w:t>
      </w:r>
      <w:r w:rsidRPr="073339EA" w:rsidR="078A173B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 personas tran</w:t>
      </w:r>
      <w:r w:rsidRPr="073339EA" w:rsidR="357ADB2B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</w:t>
      </w:r>
      <w:r w:rsidRPr="073339EA" w:rsidR="078A173B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, no binarias e intersexuales</w:t>
      </w:r>
      <w:r w:rsidRPr="073339EA" w:rsidR="5A88AC1A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en el archipiélago.</w:t>
      </w:r>
      <w:r w:rsidRPr="073339EA" w:rsidR="5A88AC1A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</w:p>
    <w:p w:rsidR="002D7912" w:rsidP="2C28DC0B" w:rsidRDefault="002D7912" w14:paraId="6D2FA4D7" w14:textId="76214BD2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Bajo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interdicto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preliminar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el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Departamento de Estado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debería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poner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disposición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cualquier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solicitante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estadounidense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se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alinee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identidad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"X"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si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solicitan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:</w:t>
      </w:r>
    </w:p>
    <w:p w:rsidR="002D7912" w:rsidP="2C28DC0B" w:rsidRDefault="002D7912" w14:paraId="2D1734E9" w14:textId="10EA9A44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Obtener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nuevo,</w:t>
      </w:r>
    </w:p>
    <w:p w:rsidR="002D7912" w:rsidP="2C28DC0B" w:rsidRDefault="002D7912" w14:paraId="4C49BC52" w14:textId="6B67850C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Cambiar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actualizar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nombre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actual,</w:t>
      </w:r>
    </w:p>
    <w:p w:rsidR="002D7912" w:rsidP="2C28DC0B" w:rsidRDefault="002D7912" w14:paraId="39B06A64" w14:textId="343F22E0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Reemplazar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perdido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robado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dañado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, o</w:t>
      </w:r>
    </w:p>
    <w:p w:rsidR="002D7912" w:rsidP="2C28DC0B" w:rsidRDefault="002D7912" w14:paraId="5DD0F93F" w14:textId="6159AFE4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Renovar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dentro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año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expiración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11E476D5" w14:textId="36059A05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Esto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incluye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aquellos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quienes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bajo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política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la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administración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Trump, se les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envió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previamente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con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una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designación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que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enumeraba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su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sexo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asignado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al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nacer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después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solicitar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pasaporte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nuevo,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renovado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reemplazo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, y/o un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cambio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nombre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o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marcador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de 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género</w:t>
      </w:r>
      <w:r w:rsidRPr="2C28DC0B" w:rsidR="35B3860E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02D7912" w:rsidP="2C28DC0B" w:rsidRDefault="002D7912" w14:paraId="3374A1A9" w14:textId="1D1E98E6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  <w:r w:rsidRPr="073339EA" w:rsidR="7CF3FA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Encuentra </w:t>
      </w:r>
      <w:hyperlink r:id="Rd0f58bfab4494d23">
        <w:r w:rsidRPr="073339EA" w:rsidR="7CF3FA0D">
          <w:rPr>
            <w:rStyle w:val="Hyperlink"/>
            <w:rFonts w:ascii="Aptos" w:hAnsi="Aptos"/>
            <w:b w:val="0"/>
            <w:bCs w:val="0"/>
            <w:noProof w:val="0"/>
            <w:sz w:val="24"/>
            <w:szCs w:val="24"/>
            <w:lang w:val="es-ES"/>
          </w:rPr>
          <w:t>aquí</w:t>
        </w:r>
      </w:hyperlink>
      <w:r w:rsidRPr="073339EA" w:rsidR="7CF3FA0D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 xml:space="preserve"> la solicitud sometida </w:t>
      </w:r>
      <w:r w:rsidRPr="073339EA" w:rsidR="46952F7B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ante la Corte Suprema</w:t>
      </w:r>
      <w:r w:rsidRPr="073339EA" w:rsidR="69B9D261">
        <w:rPr>
          <w:rFonts w:ascii="Aptos" w:hAnsi="Aptos"/>
          <w:b w:val="0"/>
          <w:bCs w:val="0"/>
          <w:noProof w:val="0"/>
          <w:sz w:val="24"/>
          <w:szCs w:val="24"/>
          <w:lang w:val="es-ES"/>
        </w:rPr>
        <w:t>.</w:t>
      </w:r>
    </w:p>
    <w:p w:rsidR="073339EA" w:rsidP="073339EA" w:rsidRDefault="073339EA" w14:paraId="124BCDCB" w14:textId="41655DF5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62E069" w:rsidP="4337B58C" w:rsidRDefault="7E62E069" w14:paraId="32E5B93C" w14:textId="3422F30F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337B58C" w:rsidR="7E62E0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Contacto:</w:t>
      </w:r>
    </w:p>
    <w:p w:rsidR="7E62E069" w:rsidP="4337B58C" w:rsidRDefault="7E62E069" w14:paraId="5743094A" w14:textId="0F3EA746">
      <w:pPr>
        <w:spacing w:before="0" w:beforeAutospacing="off" w:after="16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337B58C" w:rsidR="7E62E0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David Cordero Mercado</w:t>
      </w:r>
      <w:r>
        <w:br/>
      </w:r>
      <w:r w:rsidRPr="4337B58C" w:rsidR="7E62E0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Director de Comunicaciones</w:t>
      </w:r>
      <w:r>
        <w:br/>
      </w:r>
      <w:r w:rsidRPr="4337B58C" w:rsidR="7E62E0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ACLU de Puerto Rico</w:t>
      </w:r>
      <w:r>
        <w:br/>
      </w:r>
      <w:r w:rsidRPr="4337B58C" w:rsidR="7E62E0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787-247-9057</w:t>
      </w:r>
    </w:p>
    <w:p w:rsidR="4337B58C" w:rsidP="4337B58C" w:rsidRDefault="4337B58C" w14:paraId="1D341233" w14:textId="31FD1538">
      <w:pPr>
        <w:rPr>
          <w:rFonts w:ascii="Aptos" w:hAnsi="Aptos"/>
          <w:b w:val="0"/>
          <w:bCs w:val="0"/>
          <w:noProof w:val="0"/>
          <w:sz w:val="24"/>
          <w:szCs w:val="24"/>
          <w:lang w:val="es-ES"/>
        </w:rPr>
      </w:pPr>
    </w:p>
    <w:p w:rsidR="002D7912" w:rsidRDefault="002D7912" w14:paraId="2C078E63" w14:textId="11FB7A76">
      <w:pPr>
        <w:rPr>
          <w:b w:val="0"/>
          <w:bCs w:val="0"/>
        </w:rPr>
      </w:pPr>
    </w:p>
    <w:sectPr w:rsidR="002D79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ece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1D10EC"/>
    <w:rsid w:val="000F9739"/>
    <w:rsid w:val="002D7912"/>
    <w:rsid w:val="008F68C5"/>
    <w:rsid w:val="023D4715"/>
    <w:rsid w:val="04FD6AC5"/>
    <w:rsid w:val="065B12F6"/>
    <w:rsid w:val="073339EA"/>
    <w:rsid w:val="078A173B"/>
    <w:rsid w:val="0D7482C4"/>
    <w:rsid w:val="117EE672"/>
    <w:rsid w:val="12B13277"/>
    <w:rsid w:val="13FE611C"/>
    <w:rsid w:val="1475BF14"/>
    <w:rsid w:val="1588E91A"/>
    <w:rsid w:val="1929CBC5"/>
    <w:rsid w:val="196A2D32"/>
    <w:rsid w:val="1984FADD"/>
    <w:rsid w:val="1B705B73"/>
    <w:rsid w:val="1DCFEC71"/>
    <w:rsid w:val="1EB48DAD"/>
    <w:rsid w:val="25868F46"/>
    <w:rsid w:val="277276F0"/>
    <w:rsid w:val="29C0286D"/>
    <w:rsid w:val="2B3672EB"/>
    <w:rsid w:val="2B5D2DDF"/>
    <w:rsid w:val="2C28DC0B"/>
    <w:rsid w:val="2FAAC050"/>
    <w:rsid w:val="30A28A8E"/>
    <w:rsid w:val="357ADB2B"/>
    <w:rsid w:val="35B3860E"/>
    <w:rsid w:val="38C59E87"/>
    <w:rsid w:val="3C842C2D"/>
    <w:rsid w:val="3DDD5C92"/>
    <w:rsid w:val="41A1F70B"/>
    <w:rsid w:val="42FE68EB"/>
    <w:rsid w:val="4337B58C"/>
    <w:rsid w:val="4538C1EF"/>
    <w:rsid w:val="46952F7B"/>
    <w:rsid w:val="4762CB11"/>
    <w:rsid w:val="47AD605D"/>
    <w:rsid w:val="4C5FA50E"/>
    <w:rsid w:val="4FC84496"/>
    <w:rsid w:val="52A21765"/>
    <w:rsid w:val="52A831BE"/>
    <w:rsid w:val="565F9538"/>
    <w:rsid w:val="581D10EC"/>
    <w:rsid w:val="595BDE1D"/>
    <w:rsid w:val="5A88AC1A"/>
    <w:rsid w:val="5A91BA6B"/>
    <w:rsid w:val="60F96B3F"/>
    <w:rsid w:val="618FEEF2"/>
    <w:rsid w:val="61D6F10D"/>
    <w:rsid w:val="625F8AE8"/>
    <w:rsid w:val="63E81786"/>
    <w:rsid w:val="63FA3BF4"/>
    <w:rsid w:val="64CFA652"/>
    <w:rsid w:val="690B4E54"/>
    <w:rsid w:val="69B9D261"/>
    <w:rsid w:val="6CDB9B3F"/>
    <w:rsid w:val="6FFCAC31"/>
    <w:rsid w:val="75F2A6BE"/>
    <w:rsid w:val="778DBD31"/>
    <w:rsid w:val="7A7D8A07"/>
    <w:rsid w:val="7CF3FA0D"/>
    <w:rsid w:val="7E62E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8477"/>
  <w15:chartTrackingRefBased/>
  <w15:docId w15:val="{B96CFD43-DEA1-4D86-ACE0-A6E5EC37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C28DC0B"/>
    <w:rPr>
      <w:noProof w:val="0"/>
      <w:lang w:val="es-PR"/>
    </w:rPr>
  </w:style>
  <w:style w:type="paragraph" w:styleId="Heading1">
    <w:uiPriority w:val="9"/>
    <w:name w:val="heading 1"/>
    <w:basedOn w:val="Normal"/>
    <w:next w:val="Normal"/>
    <w:link w:val="Heading1Char"/>
    <w:qFormat/>
    <w:rsid w:val="2C28DC0B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C28DC0B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C28DC0B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C28DC0B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C28DC0B"/>
    <w:rPr>
      <w:rFonts w:eastAsia="ＭＳ ゴシック" w:cs="Times New Roman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C28DC0B"/>
    <w:rPr>
      <w:rFonts w:eastAsia="ＭＳ ゴシック" w:cs="Times New Roman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C28DC0B"/>
    <w:rPr>
      <w:rFonts w:eastAsia="ＭＳ ゴシック" w:cs="Times New Roman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C28DC0B"/>
    <w:rPr>
      <w:rFonts w:eastAsia="ＭＳ ゴシック" w:cs="Times New Roman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C28DC0B"/>
    <w:rPr>
      <w:rFonts w:eastAsia="ＭＳ ゴシック" w:cs="Times New Roman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2C28DC0B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2C28DC0B"/>
    <w:rPr>
      <w:rFonts w:eastAsia="ＭＳ ゴシック" w:cs="Times New Roman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2C28DC0B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C28DC0B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C28DC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3edec6fcd044e77" /><Relationship Type="http://schemas.openxmlformats.org/officeDocument/2006/relationships/hyperlink" Target="https://assets.aclu.org/live/uploads/2025/10/Trump-v.-Orr-Opposition-to-Stay-Application.pdf" TargetMode="External" Id="Rd0f58bfab4494d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4</revision>
  <dcterms:created xsi:type="dcterms:W3CDTF">2025-10-09T14:01:19.7152984Z</dcterms:created>
  <dcterms:modified xsi:type="dcterms:W3CDTF">2025-10-09T14:04:00.0931296Z</dcterms:modified>
</coreProperties>
</file>