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2F8933C" w:rsidP="09601B54" w:rsidRDefault="02F8933C" w14:paraId="3E354422" w14:textId="0D10710B">
      <w:pPr>
        <w:pStyle w:val="Normal"/>
        <w:spacing w:before="240" w:beforeAutospacing="off" w:after="240" w:afterAutospacing="off"/>
        <w:jc w:val="center"/>
      </w:pPr>
      <w:r w:rsidR="02F8933C">
        <w:drawing>
          <wp:inline wp14:editId="49A4BB76" wp14:anchorId="5A64ABDE">
            <wp:extent cx="2971800" cy="990600"/>
            <wp:effectExtent l="0" t="0" r="0" b="0"/>
            <wp:docPr id="749203753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9203753" name=""/>
                    <pic:cNvPicPr/>
                  </pic:nvPicPr>
                  <pic:blipFill>
                    <a:blip xmlns:r="http://schemas.openxmlformats.org/officeDocument/2006/relationships" r:embed="rId207936624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74A" w:rsidP="206150FC" w:rsidRDefault="00AB474A" w14:paraId="5ED3291A" w14:textId="65935672">
      <w:pPr>
        <w:pStyle w:val="Normal"/>
        <w:spacing w:before="240" w:beforeAutospacing="off" w:after="240" w:afterAutospacing="off"/>
        <w:jc w:val="right"/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</w:pPr>
      <w:r w:rsidRPr="206150FC" w:rsidR="112A0FFB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27 de octubre de 2025</w:t>
      </w:r>
    </w:p>
    <w:p w:rsidR="00AB474A" w:rsidP="206150FC" w:rsidRDefault="00AB474A" w14:paraId="479CA599" w14:textId="4DE1C057">
      <w:pPr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</w:pPr>
      <w:r w:rsidRPr="206150FC" w:rsidR="112A0FFB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s-ES"/>
        </w:rPr>
        <w:t>PARA DIFUSIÓN INMEDIATA</w:t>
      </w:r>
      <w:r>
        <w:br/>
      </w:r>
    </w:p>
    <w:p w:rsidR="00AB474A" w:rsidP="206150FC" w:rsidRDefault="00AB474A" w14:paraId="1A5064F8" w14:textId="5F839541">
      <w:pPr>
        <w:pStyle w:val="Heading3"/>
        <w:spacing w:before="281" w:beforeAutospacing="off" w:after="281" w:afterAutospacing="off"/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s-ES"/>
        </w:rPr>
      </w:pPr>
      <w:r w:rsidRPr="206150FC" w:rsidR="5DC67189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s-ES"/>
        </w:rPr>
        <w:t>Periodistas argumentan</w:t>
      </w:r>
      <w:r w:rsidRPr="206150FC" w:rsidR="6064D838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s-ES"/>
        </w:rPr>
        <w:t xml:space="preserve"> ante el Tribunal Federal de Apelaciones</w:t>
      </w:r>
      <w:r w:rsidRPr="206150FC" w:rsidR="5DC67189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s-ES"/>
        </w:rPr>
        <w:t xml:space="preserve"> contra la ley de “noticias falsas” aprobada en Puerto Rico durante la pandemia de COVID-19 </w:t>
      </w:r>
    </w:p>
    <w:p w:rsidR="00AB474A" w:rsidP="206150FC" w:rsidRDefault="00AB474A" w14:paraId="133ABCF8" w14:textId="2A12F5C4">
      <w:pPr>
        <w:spacing w:before="240" w:beforeAutospacing="off" w:after="240" w:afterAutospacing="off"/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auto"/>
          <w:sz w:val="22"/>
          <w:szCs w:val="22"/>
          <w:lang w:val="es-ES"/>
        </w:rPr>
      </w:pPr>
      <w:r w:rsidRPr="206150FC" w:rsidR="5DC67189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auto"/>
          <w:sz w:val="22"/>
          <w:szCs w:val="22"/>
          <w:lang w:val="es-ES"/>
        </w:rPr>
        <w:t xml:space="preserve">La ley </w:t>
      </w:r>
      <w:r w:rsidRPr="206150FC" w:rsidR="6D51ED87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auto"/>
          <w:sz w:val="22"/>
          <w:szCs w:val="22"/>
          <w:lang w:val="es-ES"/>
        </w:rPr>
        <w:t>limitó</w:t>
      </w:r>
      <w:r w:rsidRPr="206150FC" w:rsidR="5DC67189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auto"/>
          <w:sz w:val="22"/>
          <w:szCs w:val="22"/>
          <w:lang w:val="es-ES"/>
        </w:rPr>
        <w:t xml:space="preserve"> la</w:t>
      </w:r>
      <w:r w:rsidRPr="206150FC" w:rsidR="5DC67189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auto"/>
          <w:sz w:val="22"/>
          <w:szCs w:val="22"/>
          <w:lang w:val="es-ES"/>
        </w:rPr>
        <w:t xml:space="preserve"> labor periodística sobre la pandemia y amenazó la libertad de prensa en situaciones de emergencia</w:t>
      </w:r>
    </w:p>
    <w:p w:rsidR="00AB474A" w:rsidP="206150FC" w:rsidRDefault="00AB474A" w14:paraId="35B7A85C" w14:noSpellErr="1" w14:textId="67CEDA14">
      <w:pPr>
        <w:spacing w:before="240" w:beforeAutospacing="off" w:after="240" w:afterAutospacing="off"/>
      </w:pPr>
      <w:r w:rsidRPr="09601B54" w:rsidR="26DFA402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s-ES"/>
        </w:rPr>
        <w:t>SAN JUAN, Puerto Rico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— En un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momento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libertad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prensa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enfrenta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crecientes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amenazas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Tribunal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Apelaciones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del Primer Circuito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Estados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Unidos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escuchó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hoy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argumentos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sobre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llamada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ley de “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noticias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falsas” de Puerto Rico,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fue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anulada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2023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por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un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juez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federal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distrito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por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violar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la Primera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Enmienda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 la Constitución federal.</w:t>
      </w:r>
    </w:p>
    <w:p w:rsidR="00AB474A" w:rsidP="206150FC" w:rsidRDefault="00AB474A" w14:paraId="1ADF94DF" w14:noSpellErr="1" w14:textId="19D733F7">
      <w:pPr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Dos periodistas impugnaron la</w:t>
      </w:r>
      <w:r w:rsidRPr="09601B54" w:rsidR="10CAB6C5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40012A8F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Ley </w:t>
      </w:r>
      <w:r w:rsidRPr="09601B54" w:rsidR="5E12937C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35</w:t>
      </w:r>
      <w:r w:rsidRPr="09601B54" w:rsidR="40012A8F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 20</w:t>
      </w:r>
      <w:r w:rsidRPr="09601B54" w:rsidR="3B0BE9C8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20</w:t>
      </w:r>
      <w:r w:rsidRPr="09601B54" w:rsidR="40012A8F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–</w:t>
      </w:r>
      <w:r w:rsidRPr="09601B54" w:rsidR="03CC2A1D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que enmendó el Artículo 6.14 de la Ley 20 de 2017</w:t>
      </w:r>
      <w:r w:rsidRPr="09601B54" w:rsidR="40012A8F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-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, señalando que </w:t>
      </w:r>
      <w:r w:rsidRPr="09601B54" w:rsidR="13B9A7FA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limit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ó su labor informativa y que </w:t>
      </w:r>
      <w:r w:rsidRPr="09601B54" w:rsidR="7620E934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el estatuto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podría poner en peligro cualquier ejercicio del periodismo durante una emergencia</w:t>
      </w:r>
      <w:r w:rsidRPr="09601B54" w:rsidR="4FA9E767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,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si</w:t>
      </w:r>
      <w:r w:rsidRPr="09601B54" w:rsidR="1E8156B6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el trabajo periodístico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reflejara negativamente </w:t>
      </w:r>
      <w:r w:rsidRPr="09601B54" w:rsidR="1C2777E9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la gestión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656FF3B3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 gobierno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.</w:t>
      </w:r>
    </w:p>
    <w:p w:rsidR="00AB474A" w:rsidP="09601B54" w:rsidRDefault="00AB474A" w14:paraId="0E7E6B5C" w14:noSpellErr="1" w14:textId="1E71459A">
      <w:pPr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“Si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los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recientes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ataques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contra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libertad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prensa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nos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han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enseñado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algo, es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gobierno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no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puede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convertirse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árbitro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del debate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público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”,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expresó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n-US"/>
        </w:rPr>
        <w:t xml:space="preserve">Brian </w:t>
      </w:r>
      <w:r w:rsidRPr="09601B54" w:rsidR="26DFA402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n-US"/>
        </w:rPr>
        <w:t>Hauss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abogado principal del Proyecto de Libertad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Expresión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Privacidad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Tecnología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la ACLU. “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Prohibir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las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llamadas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‘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noticias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falsas’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durante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una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emergencia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concede al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gobierno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un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poder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excesivo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para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intimidar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criminalizar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cobertura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agrada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amenaza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un principio fundamental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nuestra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Constitución: un pueblo libre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requiere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una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prensa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libre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”</w:t>
      </w:r>
      <w:r w:rsidRPr="09601B54" w:rsidR="0B97874F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, sostuvo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.</w:t>
      </w:r>
    </w:p>
    <w:p w:rsidR="00AB474A" w:rsidP="206150FC" w:rsidRDefault="00AB474A" w14:paraId="3F02D5E8" w14:noSpellErr="1" w14:textId="1501C0BB">
      <w:pPr>
        <w:spacing w:before="240" w:beforeAutospacing="off" w:after="240" w:afterAutospacing="off"/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La ley de Puerto Rico</w:t>
      </w:r>
      <w:r w:rsidRPr="09601B54" w:rsidR="013DA8FC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convertía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delito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levantar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una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“falsa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alarma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”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sobre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una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catástrofe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inminente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divulgar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sabiendas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información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falsa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sobre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cualquier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tema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cuando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esto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pudiera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implicar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un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riesgo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inminente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para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seguridad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,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salud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o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propiedad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. Las personas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acusadas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bajo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esta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ley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podían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enfrentar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hasta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tres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años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de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cárcel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y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multas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de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hasta $5,000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.</w:t>
      </w:r>
    </w:p>
    <w:p w:rsidR="00AB474A" w:rsidP="09601B54" w:rsidRDefault="00AB474A" w14:noSpellErr="1" w14:paraId="0B753454" w14:textId="022D1E60">
      <w:pPr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“Esta es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una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ley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creada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para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intentar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controlar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discurso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eliminar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cualquier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disidencia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bajo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amenaza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procesar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criminalmente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quienes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digan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algo con lo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gobierno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no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esté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acuerdo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”,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señaló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n-US"/>
        </w:rPr>
        <w:t xml:space="preserve">Fermín </w:t>
      </w:r>
      <w:r w:rsidRPr="09601B54" w:rsidR="26DFA402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n-US"/>
        </w:rPr>
        <w:t>Arraiza</w:t>
      </w:r>
      <w:r w:rsidRPr="09601B54" w:rsidR="26DFA402">
        <w:rPr>
          <w:rFonts w:ascii="Georgia" w:hAnsi="Georgia" w:eastAsia="Georgia" w:cs="Georgia"/>
          <w:b w:val="1"/>
          <w:bCs w:val="1"/>
          <w:noProof w:val="0"/>
          <w:color w:val="auto"/>
          <w:sz w:val="22"/>
          <w:szCs w:val="22"/>
          <w:lang w:val="en-US"/>
        </w:rPr>
        <w:t>-Navas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director legal de la ACLU de Puerto Rico. </w:t>
      </w:r>
    </w:p>
    <w:p w:rsidR="00AB474A" w:rsidP="09601B54" w:rsidRDefault="00AB474A" w14:paraId="78D68FC9" w14:textId="34864791">
      <w:pPr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“Con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esta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ley,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Gobierno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Puerto Rico pone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peligro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derecho a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libertad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expresión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y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libertad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prensa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especialmente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momentos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sabemos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estos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derechos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están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siendo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atacados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desde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múltiples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frentes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. Es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además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un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intento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desalentar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fiscalización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justa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y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necesaria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gobierno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precisamente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durante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situaciones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emergencia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. Puerto Rico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tiene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múltiples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ejemplos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cómo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momentos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de crisis,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gobierno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ha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fallado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brindar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al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público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información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veraz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, y ha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sido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gracias al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trabajo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periodístico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y al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escrutinio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público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se ha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podido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conocer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 xml:space="preserve">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verdad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”</w:t>
      </w:r>
      <w:r w:rsidRPr="09601B54" w:rsidR="73405037">
        <w:rPr>
          <w:rFonts w:ascii="Georgia" w:hAnsi="Georgia" w:eastAsia="Georgia" w:cs="Georgia"/>
          <w:noProof w:val="0"/>
          <w:color w:val="auto"/>
          <w:sz w:val="22"/>
          <w:szCs w:val="22"/>
          <w:lang w:val="en-US"/>
        </w:rPr>
        <w:t>, añadió el director legal.</w:t>
      </w:r>
    </w:p>
    <w:p w:rsidR="0D31354D" w:rsidP="09601B54" w:rsidRDefault="0D31354D" w14:paraId="65A9B9FB" w14:textId="65D527EE">
      <w:pPr>
        <w:pStyle w:val="Normal"/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</w:pPr>
      <w:r w:rsidRPr="09601B54" w:rsidR="0D31354D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El panel de jueces </w:t>
      </w:r>
      <w:r w:rsidRPr="09601B54" w:rsidR="6096CA8C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del Tribunal de Apelaciones del Primer Circuito </w:t>
      </w:r>
      <w:r w:rsidRPr="09601B54" w:rsidR="0D31354D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estuvo compuesto por </w:t>
      </w:r>
      <w:r w:rsidRPr="09601B54" w:rsidR="6F00E6CA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Gustavo </w:t>
      </w:r>
      <w:r w:rsidRPr="09601B54" w:rsidR="6F00E6CA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Gelpí</w:t>
      </w:r>
      <w:r w:rsidRPr="09601B54" w:rsidR="6F00E6CA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, David Hamilton y Seth Aframe, quienes </w:t>
      </w:r>
      <w:r w:rsidRPr="09601B54" w:rsidR="1A11FA90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escucharon </w:t>
      </w:r>
      <w:r w:rsidRPr="09601B54" w:rsidR="1A11FA90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los</w:t>
      </w:r>
      <w:r w:rsidRPr="09601B54" w:rsidR="1A11FA90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argumentos en la Corte Federal en el Viejo San Juan en Puerto Rico. </w:t>
      </w:r>
    </w:p>
    <w:p w:rsidR="00AB474A" w:rsidP="206150FC" w:rsidRDefault="00AB474A" w14:paraId="58B677C9" w14:noSpellErr="1" w14:textId="0C8635AA">
      <w:pPr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La demanda fue presentada durante la emergencia de salud pública por COVID-19 por la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Unión Americana de Libertades Civiles (ACLU</w:t>
      </w:r>
      <w:r w:rsidRPr="09601B54" w:rsidR="6AF62CE5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, en inglés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)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y la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ACLU de Puerto Rico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, en representación de la periodista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Sandra Rodríguez Cotto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y</w:t>
      </w:r>
      <w:r w:rsidRPr="09601B54" w:rsidR="4AB6F3AB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el periodista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Rafelli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González Cotto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,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quienes temían que la ley pudiera usarse para castigarlas por su cobertura de emergencias públicas, especialmente si esta resultaba desfavorable para el gobierno.</w:t>
      </w:r>
    </w:p>
    <w:p w:rsidR="00AB474A" w:rsidP="09601B54" w:rsidRDefault="00AB474A" w14:paraId="7EEE1A58" w14:noSpellErr="1" w14:textId="77F88BE5">
      <w:pPr>
        <w:spacing w:before="240" w:beforeAutospacing="off" w:after="240" w:afterAutospacing="off"/>
        <w:rPr>
          <w:rFonts w:ascii="Georgia" w:hAnsi="Georgia" w:eastAsia="Georgia" w:cs="Georgia"/>
          <w:i w:val="0"/>
          <w:iCs w:val="0"/>
          <w:noProof w:val="0"/>
          <w:color w:val="auto"/>
          <w:sz w:val="22"/>
          <w:szCs w:val="22"/>
          <w:lang w:val="es-E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El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31 de 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marzo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 xml:space="preserve"> de 2023</w:t>
      </w:r>
      <w:r w:rsidRPr="09601B54" w:rsidR="26DFA402">
        <w:rPr>
          <w:rFonts w:ascii="Georgia" w:hAnsi="Georgia" w:eastAsia="Georgia" w:cs="Georgia"/>
          <w:b w:val="0"/>
          <w:bCs w:val="0"/>
          <w:noProof w:val="0"/>
          <w:color w:val="auto"/>
          <w:sz w:val="22"/>
          <w:szCs w:val="22"/>
          <w:lang w:val="es-ES"/>
        </w:rPr>
        <w:t>,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Tribunal de Distrito Federal para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Distrito de Puerto Rico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declaró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inconstitucional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la ley de forma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permanente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sosteniendo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violaba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la Primera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Enmienda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al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imponer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una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restricción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basada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contenido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discurso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sin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justificación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adecuada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. El tribunal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observó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que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alcance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excesivamente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amplio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del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estatuto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creaba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riesgo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enjuiciamientos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politizados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y de un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efecto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disuasivo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sobre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expresión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protegida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asuntos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interés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público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.</w:t>
      </w:r>
      <w:r w:rsidRPr="09601B54" w:rsidR="1FC54F5D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i w:val="0"/>
          <w:iCs w:val="0"/>
          <w:noProof w:val="0"/>
          <w:color w:val="auto"/>
          <w:sz w:val="22"/>
          <w:szCs w:val="22"/>
          <w:lang w:val="es-ES"/>
        </w:rPr>
        <w:t xml:space="preserve">Como expresó la corte en su decisión: </w:t>
      </w:r>
      <w:r w:rsidRPr="09601B54" w:rsidR="26DFA402">
        <w:rPr>
          <w:rFonts w:ascii="Georgia" w:hAnsi="Georgia" w:eastAsia="Georgia" w:cs="Georgia"/>
          <w:i w:val="0"/>
          <w:iCs w:val="0"/>
          <w:noProof w:val="0"/>
          <w:color w:val="auto"/>
          <w:sz w:val="22"/>
          <w:szCs w:val="22"/>
          <w:lang w:val="es-ES"/>
        </w:rPr>
        <w:t>“La función de vigilancia del discurso es más vital que nunca durante una crisis a gran escala.”</w:t>
      </w:r>
    </w:p>
    <w:p w:rsidR="00AB474A" w:rsidP="09601B54" w:rsidRDefault="00AB474A" w14:noSpellErr="1" w14:paraId="3D34435B" w14:textId="7BC7BFA8">
      <w:pPr>
        <w:spacing w:before="240" w:beforeAutospacing="off" w:after="240" w:afterAutospacing="off"/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</w:pP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Puede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acceder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a</w:t>
      </w:r>
      <w:r w:rsidRPr="09601B54" w:rsidR="2C46B925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la versión en inglés de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este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comunicado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de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prensa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hyperlink r:id="Re073226933044e64">
        <w:r w:rsidRPr="09601B54" w:rsidR="26DFA402">
          <w:rPr>
            <w:rStyle w:val="Hyperlink"/>
            <w:rFonts w:ascii="Georgia" w:hAnsi="Georgia" w:eastAsia="Georgia" w:cs="Georgia"/>
            <w:noProof w:val="0"/>
            <w:sz w:val="22"/>
            <w:szCs w:val="22"/>
            <w:lang w:val="es-ES"/>
          </w:rPr>
          <w:t>aquí</w:t>
        </w:r>
      </w:hyperlink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.</w:t>
      </w:r>
      <w:r>
        <w:br/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Para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más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información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sobre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el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caso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, </w:t>
      </w:r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visite</w:t>
      </w:r>
      <w:r w:rsidRPr="09601B54" w:rsidR="188A0F5D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 xml:space="preserve"> </w:t>
      </w:r>
      <w:hyperlink r:id="Rc7900e4251d04486">
        <w:r w:rsidRPr="09601B54" w:rsidR="188A0F5D">
          <w:rPr>
            <w:rStyle w:val="Hyperlink"/>
            <w:rFonts w:ascii="Georgia" w:hAnsi="Georgia" w:eastAsia="Georgia" w:cs="Georgia"/>
            <w:noProof w:val="0"/>
            <w:sz w:val="22"/>
            <w:szCs w:val="22"/>
            <w:lang w:val="es-ES"/>
          </w:rPr>
          <w:t>este enlace</w:t>
        </w:r>
      </w:hyperlink>
      <w:r w:rsidRPr="09601B54" w:rsidR="26DFA402">
        <w:rPr>
          <w:rFonts w:ascii="Georgia" w:hAnsi="Georgia" w:eastAsia="Georgia" w:cs="Georgia"/>
          <w:noProof w:val="0"/>
          <w:color w:val="auto"/>
          <w:sz w:val="22"/>
          <w:szCs w:val="22"/>
          <w:lang w:val="es-ES"/>
        </w:rPr>
        <w:t>.</w:t>
      </w:r>
    </w:p>
    <w:p w:rsidR="00AB474A" w:rsidP="09601B54" w:rsidRDefault="00AB474A" w14:paraId="18EDA434" w14:textId="05DDF376">
      <w:p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</w:pPr>
      <w:r w:rsidRPr="09601B54" w:rsidR="373A7CE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 xml:space="preserve">Contacto:  </w:t>
      </w:r>
    </w:p>
    <w:p w:rsidR="00AB474A" w:rsidP="09601B54" w:rsidRDefault="00AB474A" w14:paraId="72A8227F" w14:textId="37FBA388">
      <w:p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</w:pPr>
      <w:r w:rsidRPr="09601B54" w:rsidR="373A7C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 xml:space="preserve">David Cordero Mercado </w:t>
      </w:r>
    </w:p>
    <w:p w:rsidR="00AB474A" w:rsidP="09601B54" w:rsidRDefault="00AB474A" w14:paraId="04EB798E" w14:textId="11B3378A">
      <w:p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</w:pPr>
      <w:r w:rsidRPr="09601B54" w:rsidR="373A7C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 xml:space="preserve">Director de Comunicaciones – ACLU de Puerto Rico  </w:t>
      </w:r>
    </w:p>
    <w:p w:rsidR="00AB474A" w:rsidP="09601B54" w:rsidRDefault="00AB474A" w14:paraId="2C078E63" w14:textId="56806112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</w:pPr>
      <w:r w:rsidRPr="09601B54" w:rsidR="373A7C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>(787) 247-9057</w:t>
      </w:r>
    </w:p>
    <w:sectPr w:rsidR="00AB474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10979A"/>
    <w:rsid w:val="005D4690"/>
    <w:rsid w:val="00AB474A"/>
    <w:rsid w:val="013DA8FC"/>
    <w:rsid w:val="02F8933C"/>
    <w:rsid w:val="03CC2A1D"/>
    <w:rsid w:val="0416FD05"/>
    <w:rsid w:val="09601B54"/>
    <w:rsid w:val="0B97874F"/>
    <w:rsid w:val="0D31354D"/>
    <w:rsid w:val="0DC5E4BE"/>
    <w:rsid w:val="102370DE"/>
    <w:rsid w:val="10CAB6C5"/>
    <w:rsid w:val="112A0FFB"/>
    <w:rsid w:val="13B9A7FA"/>
    <w:rsid w:val="14442D15"/>
    <w:rsid w:val="15001A27"/>
    <w:rsid w:val="188A0F5D"/>
    <w:rsid w:val="1A11FA90"/>
    <w:rsid w:val="1A436080"/>
    <w:rsid w:val="1A85EA1D"/>
    <w:rsid w:val="1C2777E9"/>
    <w:rsid w:val="1CD5E2E9"/>
    <w:rsid w:val="1E8156B6"/>
    <w:rsid w:val="1EFD5A68"/>
    <w:rsid w:val="1F90AAD1"/>
    <w:rsid w:val="1FC54F5D"/>
    <w:rsid w:val="1FFB4E87"/>
    <w:rsid w:val="206150FC"/>
    <w:rsid w:val="25FE3A4C"/>
    <w:rsid w:val="26DFA402"/>
    <w:rsid w:val="2802BE80"/>
    <w:rsid w:val="2B314EE0"/>
    <w:rsid w:val="2B9AEC00"/>
    <w:rsid w:val="2C46B925"/>
    <w:rsid w:val="2C4DE0DE"/>
    <w:rsid w:val="2C5056B0"/>
    <w:rsid w:val="2DFC2A61"/>
    <w:rsid w:val="31F9CD8A"/>
    <w:rsid w:val="33B579BA"/>
    <w:rsid w:val="36661306"/>
    <w:rsid w:val="36D74A5C"/>
    <w:rsid w:val="373A7CE2"/>
    <w:rsid w:val="3B0BE9C8"/>
    <w:rsid w:val="40012A8F"/>
    <w:rsid w:val="40F78A0C"/>
    <w:rsid w:val="4521BB18"/>
    <w:rsid w:val="4628DD7D"/>
    <w:rsid w:val="4965A75A"/>
    <w:rsid w:val="49C9AA7C"/>
    <w:rsid w:val="4A5A5788"/>
    <w:rsid w:val="4A5C7942"/>
    <w:rsid w:val="4AB6F3AB"/>
    <w:rsid w:val="4C237367"/>
    <w:rsid w:val="4C8F4293"/>
    <w:rsid w:val="4D54FA78"/>
    <w:rsid w:val="4D939E6E"/>
    <w:rsid w:val="4FA9E767"/>
    <w:rsid w:val="51A2774C"/>
    <w:rsid w:val="5ADAC2F6"/>
    <w:rsid w:val="5B6AB5FD"/>
    <w:rsid w:val="5BD93223"/>
    <w:rsid w:val="5DC67189"/>
    <w:rsid w:val="5E12937C"/>
    <w:rsid w:val="5F52F252"/>
    <w:rsid w:val="6064D838"/>
    <w:rsid w:val="6096CA8C"/>
    <w:rsid w:val="61A32573"/>
    <w:rsid w:val="656FF3B3"/>
    <w:rsid w:val="6610979A"/>
    <w:rsid w:val="698EAFCD"/>
    <w:rsid w:val="6AF62CE5"/>
    <w:rsid w:val="6D51ED87"/>
    <w:rsid w:val="6F00E6CA"/>
    <w:rsid w:val="73405037"/>
    <w:rsid w:val="7620E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BE80"/>
  <w15:chartTrackingRefBased/>
  <w15:docId w15:val="{DA495DBB-F7BC-4586-A564-8A533ADA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06150FC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79366246" /><Relationship Type="http://schemas.openxmlformats.org/officeDocument/2006/relationships/hyperlink" Target="https://www.aclu.org/press-releases/journalists-argue-against-puerto-ricos-covid-era-fake-news-law-in-federal-appeals-court" TargetMode="External" Id="Re073226933044e64" /><Relationship Type="http://schemas.openxmlformats.org/officeDocument/2006/relationships/hyperlink" Target="https://www.aclu.org/cases/rodriguez-cotto-v-pierluisi-urrutia" TargetMode="External" Id="Rc7900e4251d044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3</revision>
  <dcterms:created xsi:type="dcterms:W3CDTF">2025-10-27T19:52:00.0000000Z</dcterms:created>
  <dcterms:modified xsi:type="dcterms:W3CDTF">2025-10-27T21:16:27.9788189Z</dcterms:modified>
</coreProperties>
</file>