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5FA9" w:rsidP="563AEB0D" w:rsidRDefault="000F5FA9" w14:paraId="2EBC9B57" w14:textId="19247BB4">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6B949344">
        <w:drawing>
          <wp:inline wp14:editId="79322D9C" wp14:anchorId="0C618B77">
            <wp:extent cx="2971800" cy="1257313"/>
            <wp:effectExtent l="0" t="0" r="0" b="0"/>
            <wp:docPr id="1733996835"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a4e0cde7e4474692">
                      <a:extLst>
                        <a:ext xmlns:a="http://schemas.openxmlformats.org/drawingml/2006/main" uri="{28A0092B-C50C-407E-A947-70E740481C1C}">
                          <a14:useLocalDpi xmlns:a14="http://schemas.microsoft.com/office/drawing/2010/main" val="0"/>
                        </a:ext>
                      </a:extLst>
                    </a:blip>
                    <a:srcRect l="0" t="13157" r="0" b="0"/>
                    <a:stretch>
                      <a:fillRect/>
                    </a:stretch>
                  </pic:blipFill>
                  <pic:spPr>
                    <a:xfrm>
                      <a:off x="0" y="0"/>
                      <a:ext cx="2971800" cy="1257313"/>
                    </a:xfrm>
                    <a:prstGeom prst="rect">
                      <a:avLst/>
                    </a:prstGeom>
                  </pic:spPr>
                </pic:pic>
              </a:graphicData>
            </a:graphic>
          </wp:inline>
        </w:drawing>
      </w:r>
    </w:p>
    <w:p w:rsidR="40752077" w:rsidP="5F13A6FE" w:rsidRDefault="40752077" w14:paraId="0A0F8BF1" w14:textId="0611315A">
      <w:pPr>
        <w:spacing w:before="240" w:beforeAutospacing="off" w:after="240" w:afterAutospacing="off"/>
        <w:jc w:val="right"/>
        <w:rPr>
          <w:rFonts w:ascii="Times New Roman" w:hAnsi="Times New Roman" w:eastAsia="Times New Roman" w:cs="Times New Roman"/>
          <w:b w:val="0"/>
          <w:bCs w:val="0"/>
          <w:noProof w:val="0"/>
          <w:sz w:val="24"/>
          <w:szCs w:val="24"/>
          <w:lang w:val="en-US"/>
        </w:rPr>
      </w:pPr>
      <w:r w:rsidRPr="5F13A6FE" w:rsidR="40752077">
        <w:rPr>
          <w:rFonts w:ascii="Times New Roman" w:hAnsi="Times New Roman" w:eastAsia="Times New Roman" w:cs="Times New Roman"/>
          <w:b w:val="0"/>
          <w:bCs w:val="0"/>
          <w:noProof w:val="0"/>
          <w:sz w:val="24"/>
          <w:szCs w:val="24"/>
          <w:lang w:val="en-US"/>
        </w:rPr>
        <w:t>June 19, 2025</w:t>
      </w:r>
    </w:p>
    <w:p w:rsidR="5F13A6FE" w:rsidP="5F13A6FE" w:rsidRDefault="5F13A6FE" w14:paraId="3563C6B8" w14:textId="3BDC8EF1">
      <w:pPr>
        <w:spacing w:before="240" w:beforeAutospacing="off" w:after="240" w:afterAutospacing="off"/>
        <w:jc w:val="left"/>
        <w:rPr>
          <w:rFonts w:ascii="Times New Roman" w:hAnsi="Times New Roman" w:eastAsia="Times New Roman" w:cs="Times New Roman"/>
          <w:b w:val="1"/>
          <w:bCs w:val="1"/>
          <w:noProof w:val="0"/>
          <w:sz w:val="24"/>
          <w:szCs w:val="24"/>
          <w:lang w:val="en-US"/>
        </w:rPr>
      </w:pPr>
    </w:p>
    <w:p w:rsidR="40752077" w:rsidP="5F13A6FE" w:rsidRDefault="40752077" w14:paraId="60D7EC95" w14:textId="278212D3">
      <w:pPr>
        <w:spacing w:before="240" w:beforeAutospacing="off" w:after="240" w:afterAutospacing="off"/>
        <w:jc w:val="left"/>
      </w:pPr>
      <w:r w:rsidRPr="5F13A6FE" w:rsidR="40752077">
        <w:rPr>
          <w:rFonts w:ascii="Times New Roman" w:hAnsi="Times New Roman" w:eastAsia="Times New Roman" w:cs="Times New Roman"/>
          <w:b w:val="1"/>
          <w:bCs w:val="1"/>
          <w:noProof w:val="0"/>
          <w:sz w:val="24"/>
          <w:szCs w:val="24"/>
          <w:lang w:val="en-US"/>
        </w:rPr>
        <w:t xml:space="preserve">Authorized Statements from the American Civil Liberties Union (ACLU) and its Puerto Rico Chapter Regarding the Ruling in </w:t>
      </w:r>
      <w:r w:rsidRPr="5F13A6FE" w:rsidR="40752077">
        <w:rPr>
          <w:rFonts w:ascii="Times New Roman" w:hAnsi="Times New Roman" w:eastAsia="Times New Roman" w:cs="Times New Roman"/>
          <w:b w:val="1"/>
          <w:bCs w:val="1"/>
          <w:i w:val="1"/>
          <w:iCs w:val="1"/>
          <w:noProof w:val="0"/>
          <w:sz w:val="24"/>
          <w:szCs w:val="24"/>
          <w:lang w:val="en-US"/>
        </w:rPr>
        <w:t>U.S. v. Skrmetti</w:t>
      </w:r>
      <w:r w:rsidRPr="5F13A6FE" w:rsidR="40752077">
        <w:rPr>
          <w:rFonts w:ascii="Times New Roman" w:hAnsi="Times New Roman" w:eastAsia="Times New Roman" w:cs="Times New Roman"/>
          <w:noProof w:val="0"/>
          <w:sz w:val="24"/>
          <w:szCs w:val="24"/>
          <w:lang w:val="en-US"/>
        </w:rPr>
        <w:t>:</w:t>
      </w:r>
    </w:p>
    <w:p w:rsidR="40752077" w:rsidP="5F13A6FE" w:rsidRDefault="40752077" w14:paraId="18D4EAD0" w14:textId="751778A5">
      <w:pPr>
        <w:spacing w:before="240" w:beforeAutospacing="off" w:after="240" w:afterAutospacing="off"/>
        <w:jc w:val="left"/>
      </w:pPr>
      <w:r w:rsidRPr="5F13A6FE" w:rsidR="40752077">
        <w:rPr>
          <w:rFonts w:ascii="Times New Roman" w:hAnsi="Times New Roman" w:eastAsia="Times New Roman" w:cs="Times New Roman"/>
          <w:noProof w:val="0"/>
          <w:sz w:val="24"/>
          <w:szCs w:val="24"/>
          <w:lang w:val="en-US"/>
        </w:rPr>
        <w:t xml:space="preserve">The Supreme Court issued its ruling on Wednesday in </w:t>
      </w:r>
      <w:r w:rsidRPr="5F13A6FE" w:rsidR="40752077">
        <w:rPr>
          <w:rFonts w:ascii="Times New Roman" w:hAnsi="Times New Roman" w:eastAsia="Times New Roman" w:cs="Times New Roman"/>
          <w:i w:val="1"/>
          <w:iCs w:val="1"/>
          <w:noProof w:val="0"/>
          <w:sz w:val="24"/>
          <w:szCs w:val="24"/>
          <w:lang w:val="en-US"/>
        </w:rPr>
        <w:t>U.S. v. Skrmetti</w:t>
      </w:r>
      <w:r w:rsidRPr="5F13A6FE" w:rsidR="40752077">
        <w:rPr>
          <w:rFonts w:ascii="Times New Roman" w:hAnsi="Times New Roman" w:eastAsia="Times New Roman" w:cs="Times New Roman"/>
          <w:noProof w:val="0"/>
          <w:sz w:val="24"/>
          <w:szCs w:val="24"/>
          <w:lang w:val="en-US"/>
        </w:rPr>
        <w:t>, a challenge brought by three transgender teenagers, their families, and a Memphis medical provider against a Tennessee law banning gender-affirming hormone therapies for transgender people under 18.</w:t>
      </w:r>
    </w:p>
    <w:p w:rsidR="40752077" w:rsidP="5F13A6FE" w:rsidRDefault="40752077" w14:paraId="7286EA8D" w14:textId="2381B169">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5F13A6FE" w:rsidR="40752077">
        <w:rPr>
          <w:rFonts w:ascii="Times New Roman" w:hAnsi="Times New Roman" w:eastAsia="Times New Roman" w:cs="Times New Roman"/>
          <w:b w:val="0"/>
          <w:bCs w:val="0"/>
          <w:noProof w:val="0"/>
          <w:sz w:val="24"/>
          <w:szCs w:val="24"/>
          <w:lang w:val="en-US"/>
        </w:rPr>
        <w:t xml:space="preserve">The Court agreed with parts of the Sixth Circuit's opinion that allowed the law to take effect, holding that Tennessee's </w:t>
      </w:r>
      <w:r w:rsidRPr="5F13A6FE" w:rsidR="40752077">
        <w:rPr>
          <w:rFonts w:ascii="Times New Roman" w:hAnsi="Times New Roman" w:eastAsia="Times New Roman" w:cs="Times New Roman"/>
          <w:b w:val="0"/>
          <w:bCs w:val="0"/>
          <w:noProof w:val="0"/>
          <w:sz w:val="24"/>
          <w:szCs w:val="24"/>
          <w:lang w:val="en-US"/>
        </w:rPr>
        <w:t>Senate Bill 1</w:t>
      </w:r>
      <w:r w:rsidRPr="5F13A6FE" w:rsidR="40752077">
        <w:rPr>
          <w:rFonts w:ascii="Times New Roman" w:hAnsi="Times New Roman" w:eastAsia="Times New Roman" w:cs="Times New Roman"/>
          <w:b w:val="0"/>
          <w:bCs w:val="0"/>
          <w:noProof w:val="0"/>
          <w:sz w:val="24"/>
          <w:szCs w:val="24"/>
          <w:lang w:val="en-US"/>
        </w:rPr>
        <w:t xml:space="preserve"> does not draw a distinction based on sex (or trans status) and therefore only needs deferential review by the courts. This means the law can remain in force. It is important to note, however, that the decision is based on the record and context of the Tennessee case and thus </w:t>
      </w:r>
      <w:r w:rsidRPr="5F13A6FE" w:rsidR="40752077">
        <w:rPr>
          <w:rFonts w:ascii="Times New Roman" w:hAnsi="Times New Roman" w:eastAsia="Times New Roman" w:cs="Times New Roman"/>
          <w:b w:val="0"/>
          <w:bCs w:val="0"/>
          <w:noProof w:val="0"/>
          <w:sz w:val="24"/>
          <w:szCs w:val="24"/>
          <w:lang w:val="en-US"/>
        </w:rPr>
        <w:t>does not extend to other cases related to discrimination based on transgender status.</w:t>
      </w:r>
    </w:p>
    <w:p w:rsidR="40752077" w:rsidP="5F13A6FE" w:rsidRDefault="40752077" w14:paraId="0A4A5FE1" w14:textId="433EF15D">
      <w:pPr>
        <w:spacing w:before="240" w:beforeAutospacing="off" w:after="240" w:afterAutospacing="off"/>
        <w:jc w:val="left"/>
      </w:pPr>
      <w:r w:rsidRPr="5F13A6FE" w:rsidR="40752077">
        <w:rPr>
          <w:rFonts w:ascii="Times New Roman" w:hAnsi="Times New Roman" w:eastAsia="Times New Roman" w:cs="Times New Roman"/>
          <w:noProof w:val="0"/>
          <w:sz w:val="24"/>
          <w:szCs w:val="24"/>
          <w:lang w:val="en-US"/>
        </w:rPr>
        <w:t xml:space="preserve">"The ruling is a devastating loss for transgender people, our families, and everyone who cares about the Constitution," said </w:t>
      </w:r>
      <w:r w:rsidRPr="5F13A6FE" w:rsidR="40752077">
        <w:rPr>
          <w:rFonts w:ascii="Times New Roman" w:hAnsi="Times New Roman" w:eastAsia="Times New Roman" w:cs="Times New Roman"/>
          <w:b w:val="0"/>
          <w:bCs w:val="0"/>
          <w:noProof w:val="0"/>
          <w:sz w:val="24"/>
          <w:szCs w:val="24"/>
          <w:lang w:val="en-US"/>
        </w:rPr>
        <w:t>Chase Strangio, Co-Director of the ACLU’s LGBTQ &amp; HIV Project</w:t>
      </w:r>
      <w:r w:rsidRPr="5F13A6FE" w:rsidR="40752077">
        <w:rPr>
          <w:rFonts w:ascii="Times New Roman" w:hAnsi="Times New Roman" w:eastAsia="Times New Roman" w:cs="Times New Roman"/>
          <w:b w:val="1"/>
          <w:bCs w:val="1"/>
          <w:noProof w:val="0"/>
          <w:sz w:val="24"/>
          <w:szCs w:val="24"/>
          <w:lang w:val="en-US"/>
        </w:rPr>
        <w:t>.</w:t>
      </w:r>
      <w:r w:rsidRPr="5F13A6FE" w:rsidR="40752077">
        <w:rPr>
          <w:rFonts w:ascii="Times New Roman" w:hAnsi="Times New Roman" w:eastAsia="Times New Roman" w:cs="Times New Roman"/>
          <w:noProof w:val="0"/>
          <w:sz w:val="24"/>
          <w:szCs w:val="24"/>
          <w:lang w:val="en-US"/>
        </w:rPr>
        <w:t xml:space="preserve"> "While this is a painful setback, it does not mean that transgender people and our allies are out of options to defend our freedom, our health care, or our lives. The Court left intact Supreme Court and lower court precedents </w:t>
      </w:r>
      <w:r w:rsidRPr="5F13A6FE" w:rsidR="40752077">
        <w:rPr>
          <w:rFonts w:ascii="Times New Roman" w:hAnsi="Times New Roman" w:eastAsia="Times New Roman" w:cs="Times New Roman"/>
          <w:noProof w:val="0"/>
          <w:sz w:val="24"/>
          <w:szCs w:val="24"/>
          <w:lang w:val="en-US"/>
        </w:rPr>
        <w:t>establishing</w:t>
      </w:r>
      <w:r w:rsidRPr="5F13A6FE" w:rsidR="40752077">
        <w:rPr>
          <w:rFonts w:ascii="Times New Roman" w:hAnsi="Times New Roman" w:eastAsia="Times New Roman" w:cs="Times New Roman"/>
          <w:noProof w:val="0"/>
          <w:sz w:val="24"/>
          <w:szCs w:val="24"/>
          <w:lang w:val="en-US"/>
        </w:rPr>
        <w:t xml:space="preserve"> that other examples of discrimination against transgender people are unlawful. We are more determined than ever to fight for the dignity and equality of every transgender person and will continue to do so with defiant strength, relentless determination, and an enduring commitment to our families, our communities, and the freedom we all deserve," he clarified.</w:t>
      </w:r>
    </w:p>
    <w:p w:rsidR="40752077" w:rsidP="5F13A6FE" w:rsidRDefault="40752077" w14:paraId="18A6AE0E" w14:textId="5164AFE1">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5F13A6FE" w:rsidR="40752077">
        <w:rPr>
          <w:rFonts w:ascii="Times New Roman" w:hAnsi="Times New Roman" w:eastAsia="Times New Roman" w:cs="Times New Roman"/>
          <w:noProof w:val="0"/>
          <w:sz w:val="24"/>
          <w:szCs w:val="24"/>
          <w:lang w:val="en-US"/>
        </w:rPr>
        <w:t xml:space="preserve">"Make no mistake, gender-affirming care is often life-saving care, and every major medical association has determined that it is safe, appropriate, and effective. This is a sad day, and the implications will reverberate for years and across the country, but it does not undermine our resolve to keep fighting," added </w:t>
      </w:r>
      <w:r w:rsidRPr="5F13A6FE" w:rsidR="40752077">
        <w:rPr>
          <w:rFonts w:ascii="Times New Roman" w:hAnsi="Times New Roman" w:eastAsia="Times New Roman" w:cs="Times New Roman"/>
          <w:b w:val="0"/>
          <w:bCs w:val="0"/>
          <w:noProof w:val="0"/>
          <w:sz w:val="24"/>
          <w:szCs w:val="24"/>
          <w:lang w:val="en-US"/>
        </w:rPr>
        <w:t>Sasha Buchert, attorney and Director of the Transgender and Non-Binary Rights Project at Lambda Legal.</w:t>
      </w:r>
    </w:p>
    <w:p w:rsidR="40752077" w:rsidP="5F13A6FE" w:rsidRDefault="40752077" w14:paraId="43BD8913" w14:textId="44556D63">
      <w:pPr>
        <w:spacing w:before="240" w:beforeAutospacing="off" w:after="240" w:afterAutospacing="off"/>
        <w:jc w:val="left"/>
      </w:pPr>
      <w:r w:rsidRPr="5F13A6FE" w:rsidR="40752077">
        <w:rPr>
          <w:rFonts w:ascii="Times New Roman" w:hAnsi="Times New Roman" w:eastAsia="Times New Roman" w:cs="Times New Roman"/>
          <w:noProof w:val="0"/>
          <w:sz w:val="24"/>
          <w:szCs w:val="24"/>
          <w:lang w:val="en-US"/>
        </w:rPr>
        <w:t xml:space="preserve">The </w:t>
      </w:r>
      <w:r w:rsidRPr="5F13A6FE" w:rsidR="40752077">
        <w:rPr>
          <w:rFonts w:ascii="Times New Roman" w:hAnsi="Times New Roman" w:eastAsia="Times New Roman" w:cs="Times New Roman"/>
          <w:i w:val="1"/>
          <w:iCs w:val="1"/>
          <w:noProof w:val="0"/>
          <w:sz w:val="24"/>
          <w:szCs w:val="24"/>
          <w:lang w:val="en-US"/>
        </w:rPr>
        <w:t>U.S. v. Skrmetti</w:t>
      </w:r>
      <w:r w:rsidRPr="5F13A6FE" w:rsidR="40752077">
        <w:rPr>
          <w:rFonts w:ascii="Times New Roman" w:hAnsi="Times New Roman" w:eastAsia="Times New Roman" w:cs="Times New Roman"/>
          <w:noProof w:val="0"/>
          <w:sz w:val="24"/>
          <w:szCs w:val="24"/>
          <w:lang w:val="en-US"/>
        </w:rPr>
        <w:t xml:space="preserve"> case began when the ACLU, Lambda Legal, and Akin Gump Strauss Hauer &amp; Feld LLP filed a lawsuit on behalf of Samantha and Brian Williams of Nashville and their 16-year-old transgender daughter, as well as two other plaintiff families who filed anonymously, and Dr. Susan Lacy, a Memphis-based physician. The plaintiff families and Lacy argued that the law violates the transgender adolescents' Equal Protection rights. Under President Joe Biden, the U.S. intervened to also argue that the Tennessee law violates the Equal Protection Clause of the 14th Amendment. After President Trump's inauguration, the U.S. reversed its position.</w:t>
      </w:r>
    </w:p>
    <w:p w:rsidR="40752077" w:rsidP="5F13A6FE" w:rsidRDefault="40752077" w14:paraId="56854C03" w14:textId="71A520B2">
      <w:pPr>
        <w:spacing w:before="240" w:beforeAutospacing="off" w:after="240" w:afterAutospacing="off"/>
        <w:jc w:val="left"/>
      </w:pPr>
      <w:r w:rsidRPr="5F13A6FE" w:rsidR="40752077">
        <w:rPr>
          <w:rFonts w:ascii="Times New Roman" w:hAnsi="Times New Roman" w:eastAsia="Times New Roman" w:cs="Times New Roman"/>
          <w:noProof w:val="0"/>
          <w:sz w:val="24"/>
          <w:szCs w:val="24"/>
          <w:lang w:val="en-US"/>
        </w:rPr>
        <w:t xml:space="preserve">Since 2021, 25 states have enacted categorical bans on gender-affirming medical care, such as hormone therapy and puberty-suppressing drugs, to treat gender dysphoria in transgender youth, yet they readily </w:t>
      </w:r>
      <w:r w:rsidRPr="5F13A6FE" w:rsidR="40752077">
        <w:rPr>
          <w:rFonts w:ascii="Times New Roman" w:hAnsi="Times New Roman" w:eastAsia="Times New Roman" w:cs="Times New Roman"/>
          <w:noProof w:val="0"/>
          <w:sz w:val="24"/>
          <w:szCs w:val="24"/>
          <w:lang w:val="en-US"/>
        </w:rPr>
        <w:t>permit</w:t>
      </w:r>
      <w:r w:rsidRPr="5F13A6FE" w:rsidR="40752077">
        <w:rPr>
          <w:rFonts w:ascii="Times New Roman" w:hAnsi="Times New Roman" w:eastAsia="Times New Roman" w:cs="Times New Roman"/>
          <w:noProof w:val="0"/>
          <w:sz w:val="24"/>
          <w:szCs w:val="24"/>
          <w:lang w:val="en-US"/>
        </w:rPr>
        <w:t xml:space="preserve"> those same medications for other similar purposes in cisgender youth. Over 100,000 transgender people under the age of 18 now live in a state with a ban on their medical care. </w:t>
      </w:r>
      <w:r w:rsidRPr="5F13A6FE" w:rsidR="40752077">
        <w:rPr>
          <w:rFonts w:ascii="Times New Roman" w:hAnsi="Times New Roman" w:eastAsia="Times New Roman" w:cs="Times New Roman"/>
          <w:b w:val="0"/>
          <w:bCs w:val="0"/>
          <w:noProof w:val="0"/>
          <w:sz w:val="24"/>
          <w:szCs w:val="24"/>
          <w:lang w:val="en-US"/>
        </w:rPr>
        <w:t xml:space="preserve">In Puerto Rico, Senate Bill 350 pursues the same </w:t>
      </w:r>
      <w:r w:rsidRPr="5F13A6FE" w:rsidR="40752077">
        <w:rPr>
          <w:rFonts w:ascii="Times New Roman" w:hAnsi="Times New Roman" w:eastAsia="Times New Roman" w:cs="Times New Roman"/>
          <w:b w:val="0"/>
          <w:bCs w:val="0"/>
          <w:noProof w:val="0"/>
          <w:sz w:val="24"/>
          <w:szCs w:val="24"/>
          <w:lang w:val="en-US"/>
        </w:rPr>
        <w:t>objective</w:t>
      </w:r>
      <w:r w:rsidRPr="5F13A6FE" w:rsidR="40752077">
        <w:rPr>
          <w:rFonts w:ascii="Times New Roman" w:hAnsi="Times New Roman" w:eastAsia="Times New Roman" w:cs="Times New Roman"/>
          <w:b w:val="0"/>
          <w:bCs w:val="0"/>
          <w:noProof w:val="0"/>
          <w:sz w:val="24"/>
          <w:szCs w:val="24"/>
          <w:lang w:val="en-US"/>
        </w:rPr>
        <w:t>, with the aggravating factor that it extends the prohibition up to age 21.</w:t>
      </w:r>
      <w:r w:rsidRPr="5F13A6FE" w:rsidR="40752077">
        <w:rPr>
          <w:rFonts w:ascii="Times New Roman" w:hAnsi="Times New Roman" w:eastAsia="Times New Roman" w:cs="Times New Roman"/>
          <w:b w:val="0"/>
          <w:bCs w:val="0"/>
          <w:noProof w:val="0"/>
          <w:sz w:val="24"/>
          <w:szCs w:val="24"/>
          <w:lang w:val="en-US"/>
        </w:rPr>
        <w:t xml:space="preserve"> </w:t>
      </w:r>
      <w:r w:rsidRPr="5F13A6FE" w:rsidR="40752077">
        <w:rPr>
          <w:rFonts w:ascii="Times New Roman" w:hAnsi="Times New Roman" w:eastAsia="Times New Roman" w:cs="Times New Roman"/>
          <w:noProof w:val="0"/>
          <w:sz w:val="24"/>
          <w:szCs w:val="24"/>
          <w:lang w:val="en-US"/>
        </w:rPr>
        <w:t>The ACLU of Puerto Rico has rejected this measure.</w:t>
      </w:r>
    </w:p>
    <w:p w:rsidR="40752077" w:rsidP="5F13A6FE" w:rsidRDefault="40752077" w14:paraId="3A277FC0" w14:textId="48E78541">
      <w:pPr>
        <w:spacing w:before="240" w:beforeAutospacing="off" w:after="240" w:afterAutospacing="off"/>
        <w:jc w:val="left"/>
      </w:pPr>
      <w:r w:rsidRPr="5F13A6FE" w:rsidR="40752077">
        <w:rPr>
          <w:rFonts w:ascii="Times New Roman" w:hAnsi="Times New Roman" w:eastAsia="Times New Roman" w:cs="Times New Roman"/>
          <w:noProof w:val="0"/>
          <w:sz w:val="24"/>
          <w:szCs w:val="24"/>
          <w:lang w:val="en-US"/>
        </w:rPr>
        <w:t>In January 2025, the Trump administration issued an executive order instructing federal agencies to withhold funding from medical providers and institutions that provide gender-affirming medical treatments, such as puberty blockers and hormone therapies, to any trans person under the age of 19. That order was challenged shortly thereafter on behalf of families, medical providers, and advocates by the ACLU and Lambda Legal, and its enforcement is currently blocked by a preliminary injunction.</w:t>
      </w:r>
    </w:p>
    <w:p w:rsidR="5F13A6FE" w:rsidP="5F13A6FE" w:rsidRDefault="5F13A6FE" w14:paraId="31A76DCC" w14:textId="3538C499">
      <w:pPr>
        <w:jc w:val="left"/>
      </w:pPr>
    </w:p>
    <w:p w:rsidR="40752077" w:rsidP="5F13A6FE" w:rsidRDefault="40752077" w14:paraId="6125CB50" w14:textId="46EDFB9A">
      <w:pPr>
        <w:spacing w:before="240" w:beforeAutospacing="off" w:after="240" w:afterAutospacing="off"/>
        <w:jc w:val="left"/>
      </w:pPr>
      <w:r w:rsidRPr="5F13A6FE" w:rsidR="40752077">
        <w:rPr>
          <w:rFonts w:ascii="Times New Roman" w:hAnsi="Times New Roman" w:eastAsia="Times New Roman" w:cs="Times New Roman"/>
          <w:b w:val="1"/>
          <w:bCs w:val="1"/>
          <w:noProof w:val="0"/>
          <w:sz w:val="24"/>
          <w:szCs w:val="24"/>
          <w:lang w:val="en-US"/>
        </w:rPr>
        <w:t>Contact:</w:t>
      </w:r>
      <w:r w:rsidRPr="5F13A6FE" w:rsidR="40752077">
        <w:rPr>
          <w:rFonts w:ascii="Times New Roman" w:hAnsi="Times New Roman" w:eastAsia="Times New Roman" w:cs="Times New Roman"/>
          <w:noProof w:val="0"/>
          <w:sz w:val="24"/>
          <w:szCs w:val="24"/>
          <w:lang w:val="en-US"/>
        </w:rPr>
        <w:t xml:space="preserve"> </w:t>
      </w:r>
    </w:p>
    <w:p w:rsidR="40752077" w:rsidP="5F13A6FE" w:rsidRDefault="40752077" w14:paraId="043BB0C0" w14:textId="3A080A51">
      <w:pPr>
        <w:spacing w:before="0" w:beforeAutospacing="off" w:after="20" w:afterAutospacing="off"/>
        <w:jc w:val="left"/>
      </w:pPr>
      <w:r w:rsidRPr="5F13A6FE" w:rsidR="40752077">
        <w:rPr>
          <w:rFonts w:ascii="Times New Roman" w:hAnsi="Times New Roman" w:eastAsia="Times New Roman" w:cs="Times New Roman"/>
          <w:noProof w:val="0"/>
          <w:sz w:val="24"/>
          <w:szCs w:val="24"/>
          <w:lang w:val="en-US"/>
        </w:rPr>
        <w:t xml:space="preserve">David Cordero Mercado </w:t>
      </w:r>
    </w:p>
    <w:p w:rsidR="40752077" w:rsidP="5F13A6FE" w:rsidRDefault="40752077" w14:paraId="7B057029" w14:textId="622810B7">
      <w:pPr>
        <w:spacing w:before="0" w:beforeAutospacing="off" w:after="20" w:afterAutospacing="off"/>
        <w:jc w:val="left"/>
      </w:pPr>
      <w:r w:rsidRPr="5F13A6FE" w:rsidR="40752077">
        <w:rPr>
          <w:rFonts w:ascii="Times New Roman" w:hAnsi="Times New Roman" w:eastAsia="Times New Roman" w:cs="Times New Roman"/>
          <w:noProof w:val="0"/>
          <w:sz w:val="24"/>
          <w:szCs w:val="24"/>
          <w:lang w:val="en-US"/>
        </w:rPr>
        <w:t xml:space="preserve">Communications Director – ACLU of Puerto Rico </w:t>
      </w:r>
    </w:p>
    <w:p w:rsidR="40752077" w:rsidP="5F13A6FE" w:rsidRDefault="40752077" w14:paraId="46DB3FA1" w14:textId="429C4E6D">
      <w:pPr>
        <w:spacing w:before="0" w:beforeAutospacing="off" w:after="20" w:afterAutospacing="off"/>
        <w:jc w:val="left"/>
      </w:pPr>
      <w:r w:rsidRPr="5F13A6FE" w:rsidR="40752077">
        <w:rPr>
          <w:rFonts w:ascii="Times New Roman" w:hAnsi="Times New Roman" w:eastAsia="Times New Roman" w:cs="Times New Roman"/>
          <w:noProof w:val="0"/>
          <w:sz w:val="24"/>
          <w:szCs w:val="24"/>
          <w:lang w:val="en-US"/>
        </w:rPr>
        <w:t>(787) 247-9057</w:t>
      </w:r>
    </w:p>
    <w:p w:rsidR="5F13A6FE" w:rsidP="5F13A6FE" w:rsidRDefault="5F13A6FE" w14:paraId="7DBDAF92" w14:textId="7B66A234">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rsidR="000F5FA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2A100A"/>
    <w:rsid w:val="000F5FA9"/>
    <w:rsid w:val="004D2994"/>
    <w:rsid w:val="01ED59F5"/>
    <w:rsid w:val="03EF1B1C"/>
    <w:rsid w:val="03FB1E8C"/>
    <w:rsid w:val="054D0EE2"/>
    <w:rsid w:val="0598AFEE"/>
    <w:rsid w:val="087C80F0"/>
    <w:rsid w:val="0B68FCB7"/>
    <w:rsid w:val="0B80FCCF"/>
    <w:rsid w:val="0C593B88"/>
    <w:rsid w:val="0C7B494F"/>
    <w:rsid w:val="0D6D5855"/>
    <w:rsid w:val="10C28B6C"/>
    <w:rsid w:val="115591A8"/>
    <w:rsid w:val="12350828"/>
    <w:rsid w:val="1301B4E8"/>
    <w:rsid w:val="13889324"/>
    <w:rsid w:val="14C10996"/>
    <w:rsid w:val="159088E2"/>
    <w:rsid w:val="17442D9B"/>
    <w:rsid w:val="1CE3EB25"/>
    <w:rsid w:val="1F832FF2"/>
    <w:rsid w:val="215D0D95"/>
    <w:rsid w:val="231A6C4F"/>
    <w:rsid w:val="24D34257"/>
    <w:rsid w:val="265C9C5F"/>
    <w:rsid w:val="2BB262FF"/>
    <w:rsid w:val="2DA1C019"/>
    <w:rsid w:val="2F772657"/>
    <w:rsid w:val="2FBFA9C8"/>
    <w:rsid w:val="3040634C"/>
    <w:rsid w:val="304D8038"/>
    <w:rsid w:val="3338913C"/>
    <w:rsid w:val="33C945C1"/>
    <w:rsid w:val="340D38D0"/>
    <w:rsid w:val="341B3ABE"/>
    <w:rsid w:val="345FED6E"/>
    <w:rsid w:val="3A1C23A3"/>
    <w:rsid w:val="3AF98BCD"/>
    <w:rsid w:val="3F4E6179"/>
    <w:rsid w:val="3F87040E"/>
    <w:rsid w:val="40752077"/>
    <w:rsid w:val="42359BAE"/>
    <w:rsid w:val="434B2F06"/>
    <w:rsid w:val="4722C05A"/>
    <w:rsid w:val="47D4621E"/>
    <w:rsid w:val="48F0E2D0"/>
    <w:rsid w:val="4D3FEBCE"/>
    <w:rsid w:val="4F388054"/>
    <w:rsid w:val="4F7312D7"/>
    <w:rsid w:val="52F445BE"/>
    <w:rsid w:val="53C43A27"/>
    <w:rsid w:val="563AEB0D"/>
    <w:rsid w:val="5692FDFF"/>
    <w:rsid w:val="5857987E"/>
    <w:rsid w:val="5ED58F43"/>
    <w:rsid w:val="5F13A6FE"/>
    <w:rsid w:val="61F55040"/>
    <w:rsid w:val="6443609A"/>
    <w:rsid w:val="66E553C7"/>
    <w:rsid w:val="691CEC3C"/>
    <w:rsid w:val="6B8D56DD"/>
    <w:rsid w:val="6B949344"/>
    <w:rsid w:val="6DA62F3C"/>
    <w:rsid w:val="711BD823"/>
    <w:rsid w:val="74179CDD"/>
    <w:rsid w:val="752A100A"/>
    <w:rsid w:val="754E95A6"/>
    <w:rsid w:val="7849319F"/>
    <w:rsid w:val="7966D0A1"/>
    <w:rsid w:val="7AB3D7FC"/>
    <w:rsid w:val="7D5C47F9"/>
    <w:rsid w:val="7E6372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8D97"/>
  <w15:chartTrackingRefBased/>
  <w15:docId w15:val="{1F3730B5-1201-4951-A556-3E9C6A44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4e0cde7e447469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6</revision>
  <dcterms:created xsi:type="dcterms:W3CDTF">2025-06-19T03:53:00.0000000Z</dcterms:created>
  <dcterms:modified xsi:type="dcterms:W3CDTF">2025-09-29T05:05:57.3779190Z</dcterms:modified>
</coreProperties>
</file>