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3853B" w14:textId="068C182D" w:rsidR="006A6C0E" w:rsidRDefault="00A24ADD">
      <w:pPr>
        <w:rPr>
          <w:color w:val="000000"/>
          <w:sz w:val="27"/>
          <w:szCs w:val="27"/>
          <w:shd w:val="clear" w:color="auto" w:fill="F9F9F9"/>
        </w:rPr>
      </w:pPr>
      <w:r>
        <w:rPr>
          <w:color w:val="000000"/>
          <w:sz w:val="27"/>
          <w:szCs w:val="27"/>
          <w:shd w:val="clear" w:color="auto" w:fill="F9F9F9"/>
        </w:rPr>
        <w:t>ORDER granting in part and denying in part </w:t>
      </w:r>
      <w:hyperlink r:id="rId5" w:history="1">
        <w:r>
          <w:rPr>
            <w:rStyle w:val="Hyperlink"/>
            <w:sz w:val="27"/>
            <w:szCs w:val="27"/>
            <w:shd w:val="clear" w:color="auto" w:fill="F9F9F9"/>
          </w:rPr>
          <w:t>19</w:t>
        </w:r>
      </w:hyperlink>
      <w:r>
        <w:rPr>
          <w:color w:val="000000"/>
          <w:sz w:val="27"/>
          <w:szCs w:val="27"/>
          <w:shd w:val="clear" w:color="auto" w:fill="F9F9F9"/>
        </w:rPr>
        <w:t xml:space="preserve"> Motion to Dismiss for Failure to State a Claim. The Eleventh Amendment bars suits seeking monetary damages against a State in federal court, unless the State has </w:t>
      </w:r>
      <w:proofErr w:type="gramStart"/>
      <w:r>
        <w:rPr>
          <w:color w:val="000000"/>
          <w:sz w:val="27"/>
          <w:szCs w:val="27"/>
          <w:shd w:val="clear" w:color="auto" w:fill="F9F9F9"/>
        </w:rPr>
        <w:t>waived</w:t>
      </w:r>
      <w:proofErr w:type="gramEnd"/>
      <w:r>
        <w:rPr>
          <w:color w:val="000000"/>
          <w:sz w:val="27"/>
          <w:szCs w:val="27"/>
          <w:shd w:val="clear" w:color="auto" w:fill="F9F9F9"/>
        </w:rPr>
        <w:t xml:space="preserve"> its sovereign immunity or Congress has expressly overridden it. </w:t>
      </w:r>
      <w:r>
        <w:rPr>
          <w:i/>
          <w:iCs/>
          <w:color w:val="000000"/>
          <w:sz w:val="27"/>
          <w:szCs w:val="27"/>
          <w:shd w:val="clear" w:color="auto" w:fill="F9F9F9"/>
        </w:rPr>
        <w:t xml:space="preserve">See Will v. Mich. </w:t>
      </w:r>
      <w:proofErr w:type="spellStart"/>
      <w:r>
        <w:rPr>
          <w:i/>
          <w:iCs/>
          <w:color w:val="000000"/>
          <w:sz w:val="27"/>
          <w:szCs w:val="27"/>
          <w:shd w:val="clear" w:color="auto" w:fill="F9F9F9"/>
        </w:rPr>
        <w:t>Dep't</w:t>
      </w:r>
      <w:proofErr w:type="spellEnd"/>
      <w:r>
        <w:rPr>
          <w:i/>
          <w:iCs/>
          <w:color w:val="000000"/>
          <w:sz w:val="27"/>
          <w:szCs w:val="27"/>
          <w:shd w:val="clear" w:color="auto" w:fill="F9F9F9"/>
        </w:rPr>
        <w:t xml:space="preserve"> of State Police</w:t>
      </w:r>
      <w:r>
        <w:rPr>
          <w:color w:val="000000"/>
          <w:sz w:val="27"/>
          <w:szCs w:val="27"/>
          <w:shd w:val="clear" w:color="auto" w:fill="F9F9F9"/>
        </w:rPr>
        <w:t>, 491 U.S. 58, 66 (1989); </w:t>
      </w:r>
      <w:r>
        <w:rPr>
          <w:i/>
          <w:iCs/>
          <w:color w:val="000000"/>
          <w:sz w:val="27"/>
          <w:szCs w:val="27"/>
          <w:shd w:val="clear" w:color="auto" w:fill="F9F9F9"/>
        </w:rPr>
        <w:t>Diaz-Fonseca v. Puerto Rico</w:t>
      </w:r>
      <w:r>
        <w:rPr>
          <w:color w:val="000000"/>
          <w:sz w:val="27"/>
          <w:szCs w:val="27"/>
          <w:shd w:val="clear" w:color="auto" w:fill="F9F9F9"/>
        </w:rPr>
        <w:t>, 451 F.3d 13, 33 (1st Cir. 2006). "The [E]</w:t>
      </w:r>
      <w:proofErr w:type="spellStart"/>
      <w:r>
        <w:rPr>
          <w:color w:val="000000"/>
          <w:sz w:val="27"/>
          <w:szCs w:val="27"/>
          <w:shd w:val="clear" w:color="auto" w:fill="F9F9F9"/>
        </w:rPr>
        <w:t>leventh</w:t>
      </w:r>
      <w:proofErr w:type="spellEnd"/>
      <w:r>
        <w:rPr>
          <w:color w:val="000000"/>
          <w:sz w:val="27"/>
          <w:szCs w:val="27"/>
          <w:shd w:val="clear" w:color="auto" w:fill="F9F9F9"/>
        </w:rPr>
        <w:t xml:space="preserve"> [A]</w:t>
      </w:r>
      <w:proofErr w:type="spellStart"/>
      <w:r>
        <w:rPr>
          <w:color w:val="000000"/>
          <w:sz w:val="27"/>
          <w:szCs w:val="27"/>
          <w:shd w:val="clear" w:color="auto" w:fill="F9F9F9"/>
        </w:rPr>
        <w:t>mendment</w:t>
      </w:r>
      <w:proofErr w:type="spellEnd"/>
      <w:r>
        <w:rPr>
          <w:color w:val="000000"/>
          <w:sz w:val="27"/>
          <w:szCs w:val="27"/>
          <w:shd w:val="clear" w:color="auto" w:fill="F9F9F9"/>
        </w:rPr>
        <w:t xml:space="preserve"> bars the recovery of damages in a federal court against the Commonwealth of Puerto Rico and, by the same token, it bars the recovery of damages in official capacity suits brought against Puerto Rico officials where recovery will come from the public fisc." </w:t>
      </w:r>
      <w:proofErr w:type="spellStart"/>
      <w:r>
        <w:rPr>
          <w:i/>
          <w:iCs/>
          <w:color w:val="000000"/>
          <w:sz w:val="27"/>
          <w:szCs w:val="27"/>
          <w:shd w:val="clear" w:color="auto" w:fill="F9F9F9"/>
        </w:rPr>
        <w:t>Culebras</w:t>
      </w:r>
      <w:proofErr w:type="spellEnd"/>
      <w:r>
        <w:rPr>
          <w:i/>
          <w:iCs/>
          <w:color w:val="000000"/>
          <w:sz w:val="27"/>
          <w:szCs w:val="27"/>
          <w:shd w:val="clear" w:color="auto" w:fill="F9F9F9"/>
        </w:rPr>
        <w:t xml:space="preserve"> Enter. Corp. v. Rivera Rios</w:t>
      </w:r>
      <w:r>
        <w:rPr>
          <w:color w:val="000000"/>
          <w:sz w:val="27"/>
          <w:szCs w:val="27"/>
          <w:shd w:val="clear" w:color="auto" w:fill="F9F9F9"/>
        </w:rPr>
        <w:t>, 813 F.2d 506, 516 (1st Cir. 1987) (internal citations omitted). Pursuant to </w:t>
      </w:r>
      <w:r>
        <w:rPr>
          <w:i/>
          <w:iCs/>
          <w:color w:val="000000"/>
          <w:sz w:val="27"/>
          <w:szCs w:val="27"/>
          <w:shd w:val="clear" w:color="auto" w:fill="F9F9F9"/>
        </w:rPr>
        <w:t xml:space="preserve">Ex </w:t>
      </w:r>
      <w:proofErr w:type="spellStart"/>
      <w:r>
        <w:rPr>
          <w:i/>
          <w:iCs/>
          <w:color w:val="000000"/>
          <w:sz w:val="27"/>
          <w:szCs w:val="27"/>
          <w:shd w:val="clear" w:color="auto" w:fill="F9F9F9"/>
        </w:rPr>
        <w:t>parte</w:t>
      </w:r>
      <w:proofErr w:type="spellEnd"/>
      <w:r>
        <w:rPr>
          <w:i/>
          <w:iCs/>
          <w:color w:val="000000"/>
          <w:sz w:val="27"/>
          <w:szCs w:val="27"/>
          <w:shd w:val="clear" w:color="auto" w:fill="F9F9F9"/>
        </w:rPr>
        <w:t xml:space="preserve"> Young</w:t>
      </w:r>
      <w:r>
        <w:rPr>
          <w:color w:val="000000"/>
          <w:sz w:val="27"/>
          <w:szCs w:val="27"/>
          <w:shd w:val="clear" w:color="auto" w:fill="F9F9F9"/>
        </w:rPr>
        <w:t>, 209 U.S. 123 (1908), the Eleventh Amendment does not bar suits seeking prospective declaratory or injunctive relief against state officials in their official capacities. </w:t>
      </w:r>
      <w:r>
        <w:rPr>
          <w:i/>
          <w:iCs/>
          <w:color w:val="000000"/>
          <w:sz w:val="27"/>
          <w:szCs w:val="27"/>
          <w:shd w:val="clear" w:color="auto" w:fill="F9F9F9"/>
        </w:rPr>
        <w:t>See also P.R. Aqueduct &amp; Sewer Auth. v. Metcalf &amp; Eddy, Inc.</w:t>
      </w:r>
      <w:r>
        <w:rPr>
          <w:color w:val="000000"/>
          <w:sz w:val="27"/>
          <w:szCs w:val="27"/>
          <w:shd w:val="clear" w:color="auto" w:fill="F9F9F9"/>
        </w:rPr>
        <w:t>, 506 U.S. 139, 146 (1993). As such, all claims seeking money damages against the Commonwealth of Puerto Rico and Puerto Rico officials in their official capacity are hereby DISMISSED WITH PREJUDICE. All claims seeking declaratory and/or injunctive relief remain, as well as all individual capacity suits seeking money damages. Partial Judgment shall be entered accordingly. Signed by Judge Jay A. Garcia-Gregory on 11/30/2020. (MQ) (Entered: 12/01/2020)</w:t>
      </w:r>
    </w:p>
    <w:p w14:paraId="1916562D" w14:textId="77777777" w:rsidR="00A24ADD" w:rsidRDefault="00A24ADD">
      <w:pPr>
        <w:rPr>
          <w:color w:val="000000"/>
          <w:sz w:val="27"/>
          <w:szCs w:val="27"/>
          <w:shd w:val="clear" w:color="auto" w:fill="F9F9F9"/>
        </w:rPr>
      </w:pPr>
    </w:p>
    <w:p w14:paraId="3088269D" w14:textId="77777777" w:rsidR="00A24ADD" w:rsidRDefault="00A24ADD">
      <w:pPr>
        <w:rPr>
          <w:color w:val="000000"/>
          <w:sz w:val="27"/>
          <w:szCs w:val="27"/>
          <w:shd w:val="clear" w:color="auto" w:fill="F9F9F9"/>
        </w:rPr>
      </w:pPr>
    </w:p>
    <w:p w14:paraId="57680FBC" w14:textId="0232C6C3" w:rsidR="00A24ADD" w:rsidRDefault="009A6F49">
      <w:r w:rsidRPr="009A6F49">
        <w:t>ORDER denying </w:t>
      </w:r>
      <w:hyperlink r:id="rId6" w:history="1">
        <w:r w:rsidRPr="009A6F49">
          <w:rPr>
            <w:rStyle w:val="Hyperlink"/>
          </w:rPr>
          <w:t>20</w:t>
        </w:r>
      </w:hyperlink>
      <w:r w:rsidRPr="009A6F49">
        <w:t> Motion to Dismiss for Failure to State a Claim. Plaintiff has sufficiently pled supervisory liability claims against the appearing co-Defendants. Under § 1983, supervisors "may be liable on the basis of their own acts or </w:t>
      </w:r>
      <w:r w:rsidRPr="009A6F49">
        <w:rPr>
          <w:i/>
          <w:iCs/>
        </w:rPr>
        <w:t>omissions</w:t>
      </w:r>
      <w:r w:rsidRPr="009A6F49">
        <w:t>." </w:t>
      </w:r>
      <w:r w:rsidRPr="009A6F49">
        <w:rPr>
          <w:i/>
          <w:iCs/>
        </w:rPr>
        <w:t>Sanchez v. Pereira-Castillo</w:t>
      </w:r>
      <w:r w:rsidRPr="009A6F49">
        <w:t>, 590 F.3d 31, 49 (1st Cir. 2009) (citation omitted) (emphasis added). This requires a showing that (i) "one of the supervisor's subordinates abridged the plaintiff's constitutional rights," and (ii) "the [supervisor]'s action or inaction was affirmative[</w:t>
      </w:r>
      <w:proofErr w:type="spellStart"/>
      <w:r w:rsidRPr="009A6F49">
        <w:t>ly</w:t>
      </w:r>
      <w:proofErr w:type="spellEnd"/>
      <w:r w:rsidRPr="009A6F49">
        <w:t>] link[ed] to that behavior in the sense that it could be characterized as supervisory encouragement, condonation, or acquiescence or gross negligence amounting to deliberate indifference." </w:t>
      </w:r>
      <w:r w:rsidRPr="009A6F49">
        <w:rPr>
          <w:i/>
          <w:iCs/>
        </w:rPr>
        <w:t>Guadalupe-Baez v. Pesquera</w:t>
      </w:r>
      <w:r w:rsidRPr="009A6F49">
        <w:t>, 819 F.3d 509, 514-15 (1st Cir. 2016) (citations omitted). A defendant need not personally participate in the alleged constitutional violation for liability to attach. A plaintiff asserting deliberate indifference by supervisors must show "(1) a grave risk of harm, (2) the defendant's actual or constructive knowledge of that risk, and (3) his failure to take easily available measures to address the risk." </w:t>
      </w:r>
      <w:r w:rsidRPr="009A6F49">
        <w:rPr>
          <w:i/>
          <w:iCs/>
        </w:rPr>
        <w:t>Camilo-Robles v. Hoyos</w:t>
      </w:r>
      <w:r w:rsidRPr="009A6F49">
        <w:t>, 151 F.3d 1, 7 (1st Cir. 1998) (citation omitted). Because actual knowledge is not required, a supervisor "may be liable for the </w:t>
      </w:r>
      <w:r w:rsidRPr="009A6F49">
        <w:rPr>
          <w:i/>
          <w:iCs/>
        </w:rPr>
        <w:t>foreseeable consequences</w:t>
      </w:r>
      <w:r w:rsidRPr="009A6F49">
        <w:t> of such conduct if he would have known of it but for his deliberate indifference or willful blindness." </w:t>
      </w:r>
      <w:r w:rsidRPr="009A6F49">
        <w:rPr>
          <w:i/>
          <w:iCs/>
        </w:rPr>
        <w:t>Id</w:t>
      </w:r>
      <w:r w:rsidRPr="009A6F49">
        <w:t xml:space="preserve">. (emphasis added). </w:t>
      </w:r>
      <w:proofErr w:type="gramStart"/>
      <w:r w:rsidRPr="009A6F49">
        <w:t>In light of</w:t>
      </w:r>
      <w:proofErr w:type="gramEnd"/>
      <w:r w:rsidRPr="009A6F49">
        <w:t xml:space="preserve"> Civ. No. 12-2039 and the DOJ's Report on the Investigation of the Puerto Rico Police Department dated September 2011, </w:t>
      </w:r>
      <w:r w:rsidRPr="009A6F49">
        <w:lastRenderedPageBreak/>
        <w:t>Defendants' arguments that the pleadings do not sufficiently assert an affirmative link is untenable. The DOJ's investigation and the federal case put Defendants on actual notice of a pattern and practice of excessive force within the Puerto Rico Police Department, which poses a great risk of harm to any citizen intervened by the police. Moreover, the Complaint alleges that Defendants have failed to address this risk by implementing and enforcing the terms of the Settlement Agreement in Civ. No. 12-2039. This is sufficient to survive dismissal at this stage. Finally, Defendants' request for dismissal based on qualified immunity is DENIED. The facts alleged by Plaintiff make out a violation of Plaintiff's rights under the First and Fourth Amendments. </w:t>
      </w:r>
      <w:r w:rsidRPr="009A6F49">
        <w:rPr>
          <w:i/>
          <w:iCs/>
        </w:rPr>
        <w:t>See Maldonado v. Fontanes</w:t>
      </w:r>
      <w:r w:rsidRPr="009A6F49">
        <w:t>, 568 F.3d 263, 269 (1st Cir. 2009). Moreover, freedom of speech and the right to be free from the use of excessive force are clearly establish rights. </w:t>
      </w:r>
      <w:r w:rsidRPr="009A6F49">
        <w:rPr>
          <w:i/>
          <w:iCs/>
        </w:rPr>
        <w:t>See also Giragosian v. Bettencourt</w:t>
      </w:r>
      <w:r w:rsidRPr="009A6F49">
        <w:t xml:space="preserve">, 614 F.3d 25, 29 (1st Cir. 2010) (stating that since "[i]t is not always possible to determine before any discovery has occurred whether a defendant is entitled to qualified immunity, </w:t>
      </w:r>
      <w:proofErr w:type="gramStart"/>
      <w:r w:rsidRPr="009A6F49">
        <w:t>[ ]</w:t>
      </w:r>
      <w:proofErr w:type="gramEnd"/>
      <w:r w:rsidRPr="009A6F49">
        <w:t xml:space="preserve"> courts often evaluate qualified immunity defenses at the summary judgment stage."). Signed by Judge Jay A. Garcia-Gregory on 11/30/2020. (MQ) (Entered: 12/01/2020)</w:t>
      </w:r>
    </w:p>
    <w:sectPr w:rsidR="00A24ADD" w:rsidSect="00904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58"/>
    <w:rsid w:val="001A4258"/>
    <w:rsid w:val="006A6C0E"/>
    <w:rsid w:val="009043F2"/>
    <w:rsid w:val="009A6F49"/>
    <w:rsid w:val="00A24ADD"/>
    <w:rsid w:val="00C17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04AD"/>
  <w15:chartTrackingRefBased/>
  <w15:docId w15:val="{4957A642-9691-40EF-8713-02AA19FA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_trad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1A4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2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2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2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2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258"/>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1A4258"/>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1A4258"/>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1A4258"/>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1A4258"/>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1A4258"/>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A4258"/>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1A4258"/>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A4258"/>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1A4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258"/>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A4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258"/>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A4258"/>
    <w:pPr>
      <w:spacing w:before="160"/>
      <w:jc w:val="center"/>
    </w:pPr>
    <w:rPr>
      <w:i/>
      <w:iCs/>
      <w:color w:val="404040" w:themeColor="text1" w:themeTint="BF"/>
    </w:rPr>
  </w:style>
  <w:style w:type="character" w:customStyle="1" w:styleId="QuoteChar">
    <w:name w:val="Quote Char"/>
    <w:basedOn w:val="DefaultParagraphFont"/>
    <w:link w:val="Quote"/>
    <w:uiPriority w:val="29"/>
    <w:rsid w:val="001A4258"/>
    <w:rPr>
      <w:i/>
      <w:iCs/>
      <w:color w:val="404040" w:themeColor="text1" w:themeTint="BF"/>
      <w:lang w:val="en-US"/>
    </w:rPr>
  </w:style>
  <w:style w:type="paragraph" w:styleId="ListParagraph">
    <w:name w:val="List Paragraph"/>
    <w:basedOn w:val="Normal"/>
    <w:uiPriority w:val="34"/>
    <w:qFormat/>
    <w:rsid w:val="001A4258"/>
    <w:pPr>
      <w:ind w:left="720"/>
      <w:contextualSpacing/>
    </w:pPr>
  </w:style>
  <w:style w:type="character" w:styleId="IntenseEmphasis">
    <w:name w:val="Intense Emphasis"/>
    <w:basedOn w:val="DefaultParagraphFont"/>
    <w:uiPriority w:val="21"/>
    <w:qFormat/>
    <w:rsid w:val="001A4258"/>
    <w:rPr>
      <w:i/>
      <w:iCs/>
      <w:color w:val="0F4761" w:themeColor="accent1" w:themeShade="BF"/>
    </w:rPr>
  </w:style>
  <w:style w:type="paragraph" w:styleId="IntenseQuote">
    <w:name w:val="Intense Quote"/>
    <w:basedOn w:val="Normal"/>
    <w:next w:val="Normal"/>
    <w:link w:val="IntenseQuoteChar"/>
    <w:uiPriority w:val="30"/>
    <w:qFormat/>
    <w:rsid w:val="001A4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258"/>
    <w:rPr>
      <w:i/>
      <w:iCs/>
      <w:color w:val="0F4761" w:themeColor="accent1" w:themeShade="BF"/>
      <w:lang w:val="en-US"/>
    </w:rPr>
  </w:style>
  <w:style w:type="character" w:styleId="IntenseReference">
    <w:name w:val="Intense Reference"/>
    <w:basedOn w:val="DefaultParagraphFont"/>
    <w:uiPriority w:val="32"/>
    <w:qFormat/>
    <w:rsid w:val="001A4258"/>
    <w:rPr>
      <w:b/>
      <w:bCs/>
      <w:smallCaps/>
      <w:color w:val="0F4761" w:themeColor="accent1" w:themeShade="BF"/>
      <w:spacing w:val="5"/>
    </w:rPr>
  </w:style>
  <w:style w:type="character" w:styleId="Hyperlink">
    <w:name w:val="Hyperlink"/>
    <w:basedOn w:val="DefaultParagraphFont"/>
    <w:uiPriority w:val="99"/>
    <w:unhideWhenUsed/>
    <w:rsid w:val="00A24ADD"/>
    <w:rPr>
      <w:color w:val="0000FF"/>
      <w:u w:val="single"/>
    </w:rPr>
  </w:style>
  <w:style w:type="character" w:styleId="UnresolvedMention">
    <w:name w:val="Unresolved Mention"/>
    <w:basedOn w:val="DefaultParagraphFont"/>
    <w:uiPriority w:val="99"/>
    <w:semiHidden/>
    <w:unhideWhenUsed/>
    <w:rsid w:val="009A6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f.prd.uscourts.gov/doc1/15917580412" TargetMode="External"/><Relationship Id="rId5" Type="http://schemas.openxmlformats.org/officeDocument/2006/relationships/hyperlink" Target="https://ecf.prd.uscourts.gov/doc1/159175804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3848</Characters>
  <Application>Microsoft Office Word</Application>
  <DocSecurity>0</DocSecurity>
  <Lines>32</Lines>
  <Paragraphs>9</Paragraphs>
  <ScaleCrop>false</ScaleCrop>
  <Company>American Civil Liberties Union</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Fermin Arraiza</dc:creator>
  <cp:keywords/>
  <dc:description/>
  <cp:lastModifiedBy>Fermin Arraiza</cp:lastModifiedBy>
  <cp:revision>3</cp:revision>
  <dcterms:created xsi:type="dcterms:W3CDTF">2025-08-19T19:44:00Z</dcterms:created>
  <dcterms:modified xsi:type="dcterms:W3CDTF">2025-08-19T19:45:00Z</dcterms:modified>
</cp:coreProperties>
</file>